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jdecontrols/jdecontrol1.xml" ContentType="application/vnd.wps-officedocument.jdeControl+xml"/>
  <Override PartName="/word/jdecontrols/jdecontrol10.xml" ContentType="application/vnd.wps-officedocument.jdeControl+xml"/>
  <Override PartName="/word/jdecontrols/jdecontrol11.xml" ContentType="application/vnd.wps-officedocument.jdeControl+xml"/>
  <Override PartName="/word/jdecontrols/jdecontrol12.xml" ContentType="application/vnd.wps-officedocument.jdeControl+xml"/>
  <Override PartName="/word/jdecontrols/jdecontrol2.xml" ContentType="application/vnd.wps-officedocument.jdeControl+xml"/>
  <Override PartName="/word/jdecontrols/jdecontrol3.xml" ContentType="application/vnd.wps-officedocument.jdeControl+xml"/>
  <Override PartName="/word/jdecontrols/jdecontrol4.xml" ContentType="application/vnd.wps-officedocument.jdeControl+xml"/>
  <Override PartName="/word/jdecontrols/jdecontrol5.xml" ContentType="application/vnd.wps-officedocument.jdeControl+xml"/>
  <Override PartName="/word/jdecontrols/jdecontrol6.xml" ContentType="application/vnd.wps-officedocument.jdeControl+xml"/>
  <Override PartName="/word/jdecontrols/jdecontrol7.xml" ContentType="application/vnd.wps-officedocument.jdeControl+xml"/>
  <Override PartName="/word/jdecontrols/jdecontrol8.xml" ContentType="application/vnd.wps-officedocument.jdeControl+xml"/>
  <Override PartName="/word/jdecontrols/jdecontrol9.xml" ContentType="application/vnd.wps-officedocument.jdeContro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3</w:t>
      </w:r>
      <w:r>
        <w:rPr>
          <w:rFonts w:hint="eastAsia" w:ascii="宋体" w:hAnsi="宋体" w:cs="宋体"/>
          <w:sz w:val="32"/>
          <w:szCs w:val="32"/>
        </w:rPr>
        <w:t>：</w:t>
      </w:r>
    </w:p>
    <w:p>
      <w:pPr>
        <w:spacing w:line="560" w:lineRule="exact"/>
        <w:jc w:val="center"/>
        <w:rPr>
          <w:rFonts w:ascii="宋体" w:hAnsi="宋体" w:cs="宋体"/>
          <w:b/>
          <w:bCs/>
          <w:sz w:val="44"/>
          <w:szCs w:val="32"/>
        </w:rPr>
      </w:pPr>
      <w:r>
        <w:rPr>
          <w:rFonts w:hint="eastAsia" w:ascii="宋体" w:hAnsi="宋体" w:cs="宋体"/>
          <w:b/>
          <w:bCs/>
          <w:sz w:val="44"/>
          <w:szCs w:val="32"/>
        </w:rPr>
        <w:t>2022年杭州市公安局</w:t>
      </w:r>
      <w:r>
        <w:rPr>
          <w:rFonts w:hint="eastAsia" w:ascii="宋体" w:hAnsi="宋体" w:cs="宋体"/>
          <w:b/>
          <w:bCs/>
          <w:sz w:val="44"/>
          <w:szCs w:val="32"/>
          <w:lang w:eastAsia="zh-CN"/>
        </w:rPr>
        <w:t>钱塘区分局</w:t>
      </w:r>
      <w:r>
        <w:rPr>
          <w:rFonts w:hint="eastAsia" w:ascii="宋体" w:hAnsi="宋体" w:cs="宋体"/>
          <w:b/>
          <w:bCs/>
          <w:sz w:val="44"/>
          <w:szCs w:val="32"/>
        </w:rPr>
        <w:t>集中招聘警务辅助人员防疫须知</w:t>
      </w:r>
    </w:p>
    <w:p>
      <w:pPr>
        <w:spacing w:line="560" w:lineRule="exact"/>
      </w:pP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因疫情防控工作需要，根据疫情发展形势变化和最新防疫要求，现将最新的防疫须知通知如下，各项防疫工作按此须知内容执行。</w:t>
      </w:r>
    </w:p>
    <w:p>
      <w:pPr>
        <w:adjustRightInd w:val="0"/>
        <w:snapToGrid w:val="0"/>
        <w:spacing w:line="540" w:lineRule="exact"/>
        <w:ind w:firstLine="643" w:firstLineChars="200"/>
        <w:rPr>
          <w:rFonts w:hint="default" w:ascii="仿宋_GB2312" w:eastAsia="仿宋_GB2312"/>
          <w:b/>
          <w:bCs/>
          <w:color w:val="FF0000"/>
          <w:sz w:val="32"/>
          <w:szCs w:val="32"/>
          <w:lang w:val="en-US" w:eastAsia="zh-CN"/>
        </w:rPr>
      </w:pPr>
      <w:r>
        <w:rPr>
          <w:rFonts w:hint="eastAsia" w:ascii="仿宋_GB2312" w:eastAsia="仿宋_GB2312"/>
          <w:b/>
          <w:bCs/>
          <w:color w:val="FF0000"/>
          <w:sz w:val="32"/>
          <w:szCs w:val="32"/>
          <w:lang w:eastAsia="zh-CN"/>
        </w:rPr>
        <w:t>一、考生均需提供</w:t>
      </w:r>
      <w:r>
        <w:rPr>
          <w:rFonts w:hint="eastAsia" w:ascii="仿宋_GB2312" w:eastAsia="仿宋_GB2312"/>
          <w:b/>
          <w:bCs/>
          <w:color w:val="FF0000"/>
          <w:sz w:val="32"/>
          <w:szCs w:val="32"/>
          <w:lang w:val="en-US" w:eastAsia="zh-CN"/>
        </w:rPr>
        <w:t>48小时内核酸检测阴性报告。</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、考生应提前申领</w:t>
      </w:r>
      <w:r>
        <w:rPr>
          <w:rFonts w:hint="eastAsia" w:ascii="仿宋_GB2312" w:eastAsia="仿宋_GB2312"/>
          <w:sz w:val="32"/>
          <w:szCs w:val="32"/>
          <w:lang w:eastAsia="zh-CN"/>
        </w:rPr>
        <w:t>杭州</w:t>
      </w:r>
      <w:r>
        <w:rPr>
          <w:rFonts w:hint="eastAsia" w:ascii="仿宋_GB2312" w:eastAsia="仿宋_GB2312"/>
          <w:sz w:val="32"/>
          <w:szCs w:val="32"/>
        </w:rPr>
        <w:t>“健康码”并持绿码参加各招聘程序。</w:t>
      </w:r>
    </w:p>
    <w:p>
      <w:pPr>
        <w:adjustRightInd w:val="0"/>
        <w:snapToGrid w:val="0"/>
        <w:spacing w:line="540" w:lineRule="exact"/>
        <w:rPr>
          <w:rFonts w:ascii="仿宋_GB2312" w:eastAsia="仿宋_GB2312"/>
          <w:bCs/>
          <w:sz w:val="32"/>
          <w:szCs w:val="32"/>
        </w:rPr>
      </w:pPr>
      <w:r>
        <w:rPr>
          <w:rFonts w:hint="eastAsia" w:ascii="仿宋_GB2312" w:eastAsia="仿宋_GB2312"/>
          <w:sz w:val="32"/>
          <w:szCs w:val="32"/>
        </w:rPr>
        <w:t xml:space="preserve">    （一）要保持</w:t>
      </w:r>
      <w:r>
        <w:rPr>
          <w:rFonts w:hint="eastAsia" w:ascii="仿宋_GB2312" w:eastAsia="仿宋_GB2312"/>
          <w:sz w:val="32"/>
          <w:szCs w:val="32"/>
          <w:lang w:eastAsia="zh-CN"/>
        </w:rPr>
        <w:t>杭州</w:t>
      </w:r>
      <w:r>
        <w:rPr>
          <w:rFonts w:hint="eastAsia" w:ascii="仿宋_GB2312" w:eastAsia="仿宋_GB2312"/>
          <w:sz w:val="32"/>
          <w:szCs w:val="32"/>
        </w:rPr>
        <w:t>“健康码”绿码状态。体能测试</w:t>
      </w:r>
      <w:r>
        <w:rPr>
          <w:rFonts w:hint="eastAsia" w:ascii="仿宋_GB2312" w:eastAsia="仿宋_GB2312"/>
          <w:bCs/>
          <w:sz w:val="32"/>
          <w:szCs w:val="32"/>
        </w:rPr>
        <w:t>前不要去国（境）外和国内疫情中高风险地区以及已出现本土阳性病例的省市，做好日常健康监测，在省外的要尽早返</w:t>
      </w:r>
      <w:r>
        <w:rPr>
          <w:rFonts w:hint="eastAsia" w:ascii="仿宋_GB2312" w:eastAsia="仿宋_GB2312"/>
          <w:sz w:val="32"/>
          <w:szCs w:val="32"/>
        </w:rPr>
        <w:t>浙</w:t>
      </w:r>
      <w:r>
        <w:rPr>
          <w:rFonts w:hint="eastAsia" w:ascii="仿宋_GB2312" w:eastAsia="仿宋_GB2312"/>
          <w:bCs/>
          <w:sz w:val="32"/>
          <w:szCs w:val="32"/>
        </w:rPr>
        <w:t>（提前14天,须出示行程码，如有特殊规定另行明确）。返</w:t>
      </w:r>
      <w:r>
        <w:rPr>
          <w:rFonts w:hint="eastAsia" w:ascii="仿宋_GB2312" w:eastAsia="仿宋_GB2312"/>
          <w:sz w:val="32"/>
          <w:szCs w:val="32"/>
        </w:rPr>
        <w:t>浙</w:t>
      </w:r>
      <w:r>
        <w:rPr>
          <w:rFonts w:hint="eastAsia" w:ascii="仿宋_GB2312" w:eastAsia="仿宋_GB2312"/>
          <w:bCs/>
          <w:sz w:val="32"/>
          <w:szCs w:val="32"/>
        </w:rPr>
        <w:t>来</w:t>
      </w:r>
      <w:r>
        <w:rPr>
          <w:rFonts w:hint="eastAsia" w:ascii="仿宋_GB2312" w:eastAsia="仿宋_GB2312"/>
          <w:sz w:val="32"/>
          <w:szCs w:val="32"/>
        </w:rPr>
        <w:t>浙</w:t>
      </w:r>
      <w:r>
        <w:rPr>
          <w:rFonts w:hint="eastAsia" w:ascii="仿宋_GB2312" w:eastAsia="仿宋_GB2312"/>
          <w:bCs/>
          <w:sz w:val="32"/>
          <w:szCs w:val="32"/>
        </w:rPr>
        <w:t>途中应佩戴口罩，做好个人防护，鼓励考生全程接种新冠病毒疫苗和携带体测前</w:t>
      </w:r>
      <w:r>
        <w:rPr>
          <w:rFonts w:hint="eastAsia" w:ascii="仿宋_GB2312" w:eastAsia="仿宋_GB2312"/>
          <w:bCs/>
          <w:sz w:val="32"/>
          <w:szCs w:val="32"/>
          <w:lang w:val="en-US" w:eastAsia="zh-CN"/>
        </w:rPr>
        <w:t>2</w:t>
      </w:r>
      <w:r>
        <w:rPr>
          <w:rFonts w:hint="eastAsia" w:ascii="仿宋_GB2312" w:eastAsia="仿宋_GB2312"/>
          <w:bCs/>
          <w:sz w:val="32"/>
          <w:szCs w:val="32"/>
        </w:rPr>
        <w:t>日内核酸检测合格证明。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（二）要提前申领</w:t>
      </w:r>
      <w:r>
        <w:rPr>
          <w:rFonts w:hint="eastAsia" w:ascii="仿宋_GB2312" w:eastAsia="仿宋_GB2312"/>
          <w:sz w:val="32"/>
          <w:szCs w:val="32"/>
          <w:lang w:eastAsia="zh-CN"/>
        </w:rPr>
        <w:t>杭州</w:t>
      </w:r>
      <w:r>
        <w:rPr>
          <w:rFonts w:hint="eastAsia" w:ascii="仿宋_GB2312" w:eastAsia="仿宋_GB2312"/>
          <w:sz w:val="32"/>
          <w:szCs w:val="32"/>
        </w:rPr>
        <w:t>“健康码”。一是可在支付宝首页输入“杭州健康码”进行申领。二是可通过支付宝，或打开钉钉、微信等具有扫描功能的APP或有扫描功能的网页浏览器，扫描二维码后进行申领。</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（三）体能测试前无法取得</w:t>
      </w:r>
      <w:r>
        <w:rPr>
          <w:rFonts w:hint="eastAsia" w:ascii="仿宋_GB2312" w:eastAsia="仿宋_GB2312"/>
          <w:sz w:val="32"/>
          <w:szCs w:val="32"/>
          <w:lang w:eastAsia="zh-CN"/>
        </w:rPr>
        <w:t>杭州</w:t>
      </w:r>
      <w:r>
        <w:rPr>
          <w:rFonts w:hint="eastAsia" w:ascii="仿宋_GB2312" w:eastAsia="仿宋_GB2312"/>
          <w:sz w:val="32"/>
          <w:szCs w:val="32"/>
        </w:rPr>
        <w:t>“健康码”绿码的，不能参加体测。</w:t>
      </w:r>
      <w:bookmarkStart w:id="0" w:name="_GoBack"/>
      <w:bookmarkEnd w:id="0"/>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浙江各地“健康码”在省内互认（除中、高风险地区外）。</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三</w:t>
      </w:r>
      <w:r>
        <w:rPr>
          <w:rFonts w:hint="eastAsia" w:ascii="仿宋_GB2312" w:eastAsia="仿宋_GB2312"/>
          <w:sz w:val="32"/>
          <w:szCs w:val="32"/>
        </w:rPr>
        <w:t>、考生应服从现场疫情防控管理</w:t>
      </w:r>
    </w:p>
    <w:p>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应配合工作人员防疫工作，经相关检测后进入考点。填报材料中应服从相应的防疫处置。完毕后应及时离开。</w:t>
      </w:r>
    </w:p>
    <w:p>
      <w:pPr>
        <w:adjustRightInd w:val="0"/>
        <w:snapToGrid w:val="0"/>
        <w:spacing w:line="540" w:lineRule="exact"/>
        <w:ind w:firstLine="640"/>
        <w:rPr>
          <w:rFonts w:ascii="仿宋_GB2312" w:hAnsi="楷体" w:eastAsia="仿宋_GB2312"/>
          <w:sz w:val="32"/>
          <w:szCs w:val="32"/>
        </w:rPr>
      </w:pPr>
      <w:r>
        <w:rPr>
          <w:rFonts w:hint="eastAsia" w:ascii="仿宋_GB2312" w:eastAsia="仿宋_GB2312"/>
          <w:sz w:val="32"/>
          <w:szCs w:val="32"/>
        </w:rPr>
        <w:t>（一）考生符合以下情形的，可以进入考点。</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杭州</w:t>
      </w:r>
      <w:r>
        <w:rPr>
          <w:rFonts w:hint="eastAsia" w:ascii="仿宋_GB2312" w:eastAsia="仿宋_GB2312"/>
          <w:sz w:val="32"/>
          <w:szCs w:val="32"/>
        </w:rPr>
        <w:t>“健康码”为绿码，</w:t>
      </w:r>
      <w:r>
        <w:rPr>
          <w:rFonts w:ascii="仿宋_GB2312" w:eastAsia="仿宋_GB2312"/>
          <w:sz w:val="32"/>
          <w:szCs w:val="32"/>
        </w:rPr>
        <w:t>现场测温37.3</w:t>
      </w:r>
      <w:r>
        <w:rPr>
          <w:rFonts w:hint="eastAsia" w:ascii="仿宋_GB2312" w:eastAsia="仿宋_GB2312"/>
          <w:sz w:val="32"/>
          <w:szCs w:val="32"/>
        </w:rPr>
        <w:t>℃</w:t>
      </w:r>
      <w:r>
        <w:rPr>
          <w:rFonts w:ascii="仿宋_GB2312" w:eastAsia="仿宋_GB2312"/>
          <w:sz w:val="32"/>
          <w:szCs w:val="32"/>
        </w:rPr>
        <w:t>以</w:t>
      </w:r>
      <w:r>
        <w:rPr>
          <w:rFonts w:hint="eastAsia" w:ascii="仿宋_GB2312" w:eastAsia="仿宋_GB2312"/>
          <w:sz w:val="32"/>
          <w:szCs w:val="32"/>
        </w:rPr>
        <w:t>下（允许间隔2-3分钟再测一次）</w:t>
      </w:r>
      <w:r>
        <w:rPr>
          <w:rFonts w:ascii="仿宋_GB2312" w:eastAsia="仿宋_GB2312"/>
          <w:sz w:val="32"/>
          <w:szCs w:val="32"/>
        </w:rPr>
        <w:t>，无咳嗽等相应症状的</w:t>
      </w:r>
      <w:r>
        <w:rPr>
          <w:rFonts w:hint="eastAsia" w:ascii="仿宋_GB2312" w:eastAsia="仿宋_GB2312"/>
          <w:sz w:val="32"/>
          <w:szCs w:val="32"/>
        </w:rPr>
        <w:t>。</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杭州</w:t>
      </w:r>
      <w:r>
        <w:rPr>
          <w:rFonts w:hint="eastAsia" w:ascii="仿宋_GB2312" w:eastAsia="仿宋_GB2312"/>
          <w:sz w:val="32"/>
          <w:szCs w:val="32"/>
        </w:rPr>
        <w:t>“健康码”为绿码</w:t>
      </w:r>
      <w:r>
        <w:rPr>
          <w:rFonts w:ascii="仿宋_GB2312" w:eastAsia="仿宋_GB2312"/>
          <w:sz w:val="32"/>
          <w:szCs w:val="32"/>
        </w:rPr>
        <w:t>，</w:t>
      </w:r>
      <w:r>
        <w:rPr>
          <w:rFonts w:hint="eastAsia" w:ascii="仿宋_GB2312" w:eastAsia="仿宋_GB2312"/>
          <w:sz w:val="32"/>
          <w:szCs w:val="32"/>
        </w:rPr>
        <w:t>现场</w:t>
      </w:r>
      <w:r>
        <w:rPr>
          <w:rFonts w:ascii="仿宋_GB2312" w:eastAsia="仿宋_GB2312"/>
          <w:sz w:val="32"/>
          <w:szCs w:val="32"/>
        </w:rPr>
        <w:t>测温37.3</w:t>
      </w:r>
      <w:r>
        <w:rPr>
          <w:rFonts w:hint="eastAsia" w:ascii="仿宋_GB2312" w:eastAsia="仿宋_GB2312"/>
          <w:sz w:val="32"/>
          <w:szCs w:val="32"/>
        </w:rPr>
        <w:t>℃</w:t>
      </w:r>
      <w:r>
        <w:rPr>
          <w:rFonts w:ascii="仿宋_GB2312" w:eastAsia="仿宋_GB2312"/>
          <w:sz w:val="32"/>
          <w:szCs w:val="32"/>
        </w:rPr>
        <w:t>以</w:t>
      </w:r>
      <w:r>
        <w:rPr>
          <w:rFonts w:hint="eastAsia" w:ascii="仿宋_GB2312" w:eastAsia="仿宋_GB2312"/>
          <w:sz w:val="32"/>
          <w:szCs w:val="32"/>
        </w:rPr>
        <w:t>上</w:t>
      </w:r>
      <w:r>
        <w:rPr>
          <w:rFonts w:ascii="仿宋_GB2312" w:eastAsia="仿宋_GB2312"/>
          <w:sz w:val="32"/>
          <w:szCs w:val="32"/>
        </w:rPr>
        <w:t>或有咳嗽等相应症状</w:t>
      </w:r>
      <w:r>
        <w:rPr>
          <w:rFonts w:hint="eastAsia" w:ascii="仿宋_GB2312" w:eastAsia="仿宋_GB2312"/>
          <w:sz w:val="32"/>
          <w:szCs w:val="32"/>
        </w:rPr>
        <w:t>，经调查无流行病学史的。</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3.</w:t>
      </w:r>
      <w:r>
        <w:rPr>
          <w:rFonts w:hint="eastAsia" w:ascii="仿宋_GB2312" w:eastAsia="仿宋_GB2312"/>
          <w:bCs/>
          <w:sz w:val="32"/>
          <w:szCs w:val="32"/>
          <w:lang w:eastAsia="zh-CN"/>
        </w:rPr>
        <w:t>杭州</w:t>
      </w:r>
      <w:r>
        <w:rPr>
          <w:rFonts w:hint="eastAsia" w:ascii="仿宋_GB2312" w:eastAsia="仿宋_GB2312"/>
          <w:bCs/>
          <w:sz w:val="32"/>
          <w:szCs w:val="32"/>
        </w:rPr>
        <w:t>“健康码”</w:t>
      </w:r>
      <w:r>
        <w:rPr>
          <w:rFonts w:ascii="仿宋_GB2312" w:eastAsia="仿宋_GB2312"/>
          <w:bCs/>
          <w:sz w:val="32"/>
          <w:szCs w:val="32"/>
        </w:rPr>
        <w:t>为绿码，现场测温37.3</w:t>
      </w:r>
      <w:r>
        <w:rPr>
          <w:rFonts w:hint="eastAsia" w:ascii="仿宋_GB2312" w:eastAsia="仿宋_GB2312"/>
          <w:bCs/>
          <w:sz w:val="32"/>
          <w:szCs w:val="32"/>
        </w:rPr>
        <w:t>℃</w:t>
      </w:r>
      <w:r>
        <w:rPr>
          <w:rFonts w:ascii="仿宋_GB2312" w:eastAsia="仿宋_GB2312"/>
          <w:bCs/>
          <w:sz w:val="32"/>
          <w:szCs w:val="32"/>
        </w:rPr>
        <w:t>以</w:t>
      </w:r>
      <w:r>
        <w:rPr>
          <w:rFonts w:hint="eastAsia" w:ascii="仿宋_GB2312" w:eastAsia="仿宋_GB2312"/>
          <w:bCs/>
          <w:sz w:val="32"/>
          <w:szCs w:val="32"/>
        </w:rPr>
        <w:t>下</w:t>
      </w:r>
      <w:r>
        <w:rPr>
          <w:rFonts w:ascii="仿宋_GB2312" w:eastAsia="仿宋_GB2312"/>
          <w:bCs/>
          <w:sz w:val="32"/>
          <w:szCs w:val="32"/>
        </w:rPr>
        <w:t>，无咳嗽等相应症状，但</w:t>
      </w:r>
      <w:r>
        <w:rPr>
          <w:rFonts w:hint="eastAsia" w:ascii="仿宋_GB2312" w:eastAsia="仿宋_GB2312"/>
          <w:bCs/>
          <w:sz w:val="32"/>
          <w:szCs w:val="32"/>
        </w:rPr>
        <w:t>体测</w:t>
      </w:r>
      <w:r>
        <w:rPr>
          <w:rFonts w:ascii="仿宋_GB2312" w:eastAsia="仿宋_GB2312"/>
          <w:bCs/>
          <w:sz w:val="32"/>
          <w:szCs w:val="32"/>
        </w:rPr>
        <w:t>前</w:t>
      </w:r>
      <w:r>
        <w:rPr>
          <w:rFonts w:hint="eastAsia" w:ascii="仿宋_GB2312" w:eastAsia="仿宋_GB2312"/>
          <w:bCs/>
          <w:sz w:val="32"/>
          <w:szCs w:val="32"/>
        </w:rPr>
        <w:t>曾经有</w:t>
      </w:r>
      <w:r>
        <w:rPr>
          <w:rFonts w:ascii="仿宋_GB2312" w:eastAsia="仿宋_GB2312"/>
          <w:bCs/>
          <w:sz w:val="32"/>
          <w:szCs w:val="32"/>
        </w:rPr>
        <w:t>国内中</w:t>
      </w:r>
      <w:r>
        <w:rPr>
          <w:rFonts w:hint="eastAsia" w:ascii="仿宋_GB2312" w:eastAsia="仿宋_GB2312"/>
          <w:bCs/>
          <w:sz w:val="32"/>
          <w:szCs w:val="32"/>
        </w:rPr>
        <w:t>高</w:t>
      </w:r>
      <w:r>
        <w:rPr>
          <w:rFonts w:ascii="仿宋_GB2312" w:eastAsia="仿宋_GB2312"/>
          <w:bCs/>
          <w:sz w:val="32"/>
          <w:szCs w:val="32"/>
        </w:rPr>
        <w:t>风险地区</w:t>
      </w:r>
      <w:r>
        <w:rPr>
          <w:rFonts w:hint="eastAsia" w:ascii="仿宋_GB2312" w:eastAsia="仿宋_GB2312"/>
          <w:bCs/>
          <w:sz w:val="32"/>
          <w:szCs w:val="32"/>
        </w:rPr>
        <w:t>旅居史的人员，须完成“14+7”健康管理，即14天集中隔离医学观察和7天日常健康监测，能提供解除集中隔离医学观察证明和2</w:t>
      </w:r>
      <w:r>
        <w:rPr>
          <w:rFonts w:ascii="仿宋_GB2312" w:eastAsia="仿宋_GB2312"/>
          <w:bCs/>
          <w:sz w:val="32"/>
          <w:szCs w:val="32"/>
        </w:rPr>
        <w:t>日内核酸检测阴性证明</w:t>
      </w:r>
      <w:r>
        <w:rPr>
          <w:rFonts w:hint="eastAsia" w:ascii="仿宋_GB2312" w:eastAsia="仿宋_GB2312"/>
          <w:bCs/>
          <w:sz w:val="32"/>
          <w:szCs w:val="32"/>
        </w:rPr>
        <w:t>的；有</w:t>
      </w:r>
      <w:r>
        <w:rPr>
          <w:rFonts w:ascii="仿宋_GB2312" w:eastAsia="仿宋_GB2312"/>
          <w:bCs/>
          <w:sz w:val="32"/>
          <w:szCs w:val="32"/>
        </w:rPr>
        <w:t>国内中</w:t>
      </w:r>
      <w:r>
        <w:rPr>
          <w:rFonts w:hint="eastAsia" w:ascii="仿宋_GB2312" w:eastAsia="仿宋_GB2312"/>
          <w:bCs/>
          <w:sz w:val="32"/>
          <w:szCs w:val="32"/>
        </w:rPr>
        <w:t>高</w:t>
      </w:r>
      <w:r>
        <w:rPr>
          <w:rFonts w:ascii="仿宋_GB2312" w:eastAsia="仿宋_GB2312"/>
          <w:bCs/>
          <w:sz w:val="32"/>
          <w:szCs w:val="32"/>
        </w:rPr>
        <w:t>风险地区所在</w:t>
      </w:r>
      <w:r>
        <w:rPr>
          <w:rFonts w:hint="eastAsia" w:ascii="仿宋_GB2312" w:eastAsia="仿宋_GB2312"/>
          <w:bCs/>
          <w:sz w:val="32"/>
          <w:szCs w:val="32"/>
        </w:rPr>
        <w:t>设区市或</w:t>
      </w:r>
      <w:r>
        <w:rPr>
          <w:rFonts w:ascii="仿宋_GB2312" w:eastAsia="仿宋_GB2312"/>
          <w:bCs/>
          <w:sz w:val="32"/>
          <w:szCs w:val="32"/>
        </w:rPr>
        <w:t>县</w:t>
      </w:r>
      <w:r>
        <w:rPr>
          <w:rFonts w:hint="eastAsia" w:ascii="仿宋_GB2312" w:eastAsia="仿宋_GB2312"/>
          <w:bCs/>
          <w:sz w:val="32"/>
          <w:szCs w:val="32"/>
        </w:rPr>
        <w:t>（市、区）旅居史的人员，须完成“7+7”健康管理，即7天集中隔离医学观察和7天日常健康监测，能提供解除集中隔离医学观察证明和2</w:t>
      </w:r>
      <w:r>
        <w:rPr>
          <w:rFonts w:ascii="仿宋_GB2312" w:eastAsia="仿宋_GB2312"/>
          <w:bCs/>
          <w:sz w:val="32"/>
          <w:szCs w:val="32"/>
        </w:rPr>
        <w:t>日内核酸检测阴性证明</w:t>
      </w:r>
      <w:r>
        <w:rPr>
          <w:rFonts w:hint="eastAsia" w:ascii="仿宋_GB2312" w:eastAsia="仿宋_GB2312"/>
          <w:bCs/>
          <w:sz w:val="32"/>
          <w:szCs w:val="32"/>
        </w:rPr>
        <w:t>的；对已出现本土阳性病例尚未划分风险等级的县（市、区）旅居史的人员，须完成14天日常健康监测，能提供2</w:t>
      </w:r>
      <w:r>
        <w:rPr>
          <w:rFonts w:ascii="仿宋_GB2312" w:eastAsia="仿宋_GB2312"/>
          <w:bCs/>
          <w:sz w:val="32"/>
          <w:szCs w:val="32"/>
        </w:rPr>
        <w:t>日内核酸检测阴性证明</w:t>
      </w:r>
      <w:r>
        <w:rPr>
          <w:rFonts w:hint="eastAsia" w:ascii="仿宋_GB2312" w:eastAsia="仿宋_GB2312"/>
          <w:bCs/>
          <w:sz w:val="32"/>
          <w:szCs w:val="32"/>
        </w:rPr>
        <w:t>的</w:t>
      </w:r>
      <w:r>
        <w:rPr>
          <w:rFonts w:ascii="仿宋_GB2312" w:eastAsia="仿宋_GB2312"/>
          <w:bCs/>
          <w:sz w:val="32"/>
          <w:szCs w:val="32"/>
        </w:rPr>
        <w:t>。</w:t>
      </w:r>
    </w:p>
    <w:p>
      <w:pPr>
        <w:adjustRightInd w:val="0"/>
        <w:snapToGrid w:val="0"/>
        <w:spacing w:line="540" w:lineRule="exact"/>
        <w:ind w:firstLine="640"/>
        <w:rPr>
          <w:rFonts w:hint="eastAsia" w:ascii="仿宋_GB2312" w:eastAsia="仿宋_GB2312"/>
          <w:sz w:val="32"/>
          <w:szCs w:val="32"/>
        </w:rPr>
      </w:pPr>
      <w:r>
        <w:rPr>
          <w:rFonts w:hint="eastAsia" w:ascii="仿宋_GB2312" w:eastAsia="仿宋_GB2312"/>
          <w:sz w:val="32"/>
          <w:szCs w:val="32"/>
        </w:rPr>
        <w:t>（二）考生有以下情形的，不能进入考点。</w:t>
      </w:r>
    </w:p>
    <w:p>
      <w:pPr>
        <w:adjustRightInd w:val="0"/>
        <w:snapToGrid w:val="0"/>
        <w:spacing w:line="540" w:lineRule="exact"/>
        <w:ind w:firstLine="640"/>
        <w:rPr>
          <w:rFonts w:hint="eastAsia" w:ascii="仿宋_GB2312" w:eastAsia="仿宋_GB2312"/>
          <w:b/>
          <w:bCs/>
          <w:color w:val="FF0000"/>
          <w:sz w:val="32"/>
          <w:szCs w:val="32"/>
          <w:lang w:val="en-US" w:eastAsia="zh-CN"/>
        </w:rPr>
      </w:pPr>
      <w:r>
        <w:rPr>
          <w:rFonts w:hint="eastAsia" w:ascii="仿宋_GB2312" w:eastAsia="仿宋_GB2312"/>
          <w:b/>
          <w:bCs/>
          <w:color w:val="FF0000"/>
          <w:sz w:val="32"/>
          <w:szCs w:val="32"/>
          <w:lang w:val="en-US" w:eastAsia="zh-CN"/>
        </w:rPr>
        <w:t>1. 现场资格审核前28天内考生本人及其共同居住家庭成员有境外旅居史或相关人员接触史的。</w:t>
      </w:r>
    </w:p>
    <w:p>
      <w:pPr>
        <w:adjustRightInd w:val="0"/>
        <w:snapToGrid w:val="0"/>
        <w:spacing w:line="540" w:lineRule="exact"/>
        <w:ind w:firstLine="640"/>
        <w:rPr>
          <w:rFonts w:hint="default" w:ascii="仿宋_GB2312" w:eastAsia="仿宋_GB2312"/>
          <w:b/>
          <w:bCs/>
          <w:color w:val="FF0000"/>
          <w:sz w:val="32"/>
          <w:szCs w:val="32"/>
          <w:lang w:val="en-US" w:eastAsia="zh-CN"/>
        </w:rPr>
      </w:pPr>
      <w:r>
        <w:rPr>
          <w:rFonts w:hint="eastAsia" w:ascii="仿宋_GB2312" w:eastAsia="仿宋_GB2312"/>
          <w:b/>
          <w:bCs/>
          <w:color w:val="FF0000"/>
          <w:sz w:val="32"/>
          <w:szCs w:val="32"/>
          <w:lang w:val="en-US" w:eastAsia="zh-CN"/>
        </w:rPr>
        <w:t>2. 现场资格审核前21天内有国内中高风险地区所在地级市（区）或参照中高风险地区管理所在地级市（区）旅居史的。</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杭州</w:t>
      </w:r>
      <w:r>
        <w:rPr>
          <w:rFonts w:hint="eastAsia" w:ascii="仿宋_GB2312" w:eastAsia="仿宋_GB2312"/>
          <w:sz w:val="32"/>
          <w:szCs w:val="32"/>
        </w:rPr>
        <w:t>“健康码”为非绿码。</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不能出示</w:t>
      </w:r>
      <w:r>
        <w:rPr>
          <w:rFonts w:hint="eastAsia" w:ascii="仿宋_GB2312" w:eastAsia="仿宋_GB2312"/>
          <w:sz w:val="32"/>
          <w:szCs w:val="32"/>
          <w:lang w:eastAsia="zh-CN"/>
        </w:rPr>
        <w:t>杭州</w:t>
      </w:r>
      <w:r>
        <w:rPr>
          <w:rFonts w:hint="eastAsia" w:ascii="仿宋_GB2312" w:eastAsia="仿宋_GB2312"/>
          <w:sz w:val="32"/>
          <w:szCs w:val="32"/>
        </w:rPr>
        <w:t>“健康码”、不配合入口检测，以及不服从防疫管理的。</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杭州</w:t>
      </w:r>
      <w:r>
        <w:rPr>
          <w:rFonts w:hint="eastAsia" w:ascii="仿宋_GB2312" w:eastAsia="仿宋_GB2312"/>
          <w:sz w:val="32"/>
          <w:szCs w:val="32"/>
        </w:rPr>
        <w:t>“健康码”为绿码，现场两次测温37.3℃以上</w:t>
      </w:r>
      <w:r>
        <w:rPr>
          <w:rFonts w:ascii="仿宋_GB2312" w:eastAsia="仿宋_GB2312"/>
          <w:sz w:val="32"/>
          <w:szCs w:val="32"/>
        </w:rPr>
        <w:t>或有咳嗽等相应症状</w:t>
      </w:r>
      <w:r>
        <w:rPr>
          <w:rFonts w:hint="eastAsia" w:ascii="仿宋_GB2312" w:eastAsia="仿宋_GB2312"/>
          <w:sz w:val="32"/>
          <w:szCs w:val="32"/>
        </w:rPr>
        <w:t>，经调查有流行病学史的（转送定点医疗机构排查）。</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w:t>
      </w:r>
      <w:r>
        <w:rPr>
          <w:rFonts w:hint="eastAsia" w:ascii="仿宋_GB2312" w:eastAsia="仿宋_GB2312"/>
          <w:bCs/>
          <w:sz w:val="32"/>
          <w:szCs w:val="32"/>
          <w:lang w:val="en-US" w:eastAsia="zh-CN"/>
        </w:rPr>
        <w:t xml:space="preserve"> </w:t>
      </w:r>
      <w:r>
        <w:rPr>
          <w:rFonts w:hint="eastAsia" w:ascii="仿宋_GB2312" w:eastAsia="仿宋_GB2312"/>
          <w:bCs/>
          <w:sz w:val="32"/>
          <w:szCs w:val="32"/>
          <w:lang w:eastAsia="zh-CN"/>
        </w:rPr>
        <w:t>杭州</w:t>
      </w:r>
      <w:r>
        <w:rPr>
          <w:rFonts w:hint="eastAsia" w:ascii="仿宋_GB2312" w:eastAsia="仿宋_GB2312"/>
          <w:bCs/>
          <w:sz w:val="32"/>
          <w:szCs w:val="32"/>
        </w:rPr>
        <w:t>“健康码”</w:t>
      </w:r>
      <w:r>
        <w:rPr>
          <w:rFonts w:ascii="仿宋_GB2312" w:eastAsia="仿宋_GB2312"/>
          <w:bCs/>
          <w:sz w:val="32"/>
          <w:szCs w:val="32"/>
        </w:rPr>
        <w:t>为绿码，现场测温37.3</w:t>
      </w:r>
      <w:r>
        <w:rPr>
          <w:rFonts w:hint="eastAsia" w:ascii="仿宋_GB2312" w:eastAsia="仿宋_GB2312"/>
          <w:bCs/>
          <w:sz w:val="32"/>
          <w:szCs w:val="32"/>
        </w:rPr>
        <w:t>℃</w:t>
      </w:r>
      <w:r>
        <w:rPr>
          <w:rFonts w:ascii="仿宋_GB2312" w:eastAsia="仿宋_GB2312"/>
          <w:bCs/>
          <w:sz w:val="32"/>
          <w:szCs w:val="32"/>
        </w:rPr>
        <w:t>以</w:t>
      </w:r>
      <w:r>
        <w:rPr>
          <w:rFonts w:hint="eastAsia" w:ascii="仿宋_GB2312" w:eastAsia="仿宋_GB2312"/>
          <w:bCs/>
          <w:sz w:val="32"/>
          <w:szCs w:val="32"/>
        </w:rPr>
        <w:t>下</w:t>
      </w:r>
      <w:r>
        <w:rPr>
          <w:rFonts w:ascii="仿宋_GB2312" w:eastAsia="仿宋_GB2312"/>
          <w:bCs/>
          <w:sz w:val="32"/>
          <w:szCs w:val="32"/>
        </w:rPr>
        <w:t>，无咳嗽等相应症状，</w:t>
      </w:r>
      <w:r>
        <w:rPr>
          <w:rFonts w:hint="eastAsia" w:ascii="仿宋_GB2312" w:eastAsia="仿宋_GB2312"/>
          <w:b/>
          <w:bCs w:val="0"/>
          <w:color w:val="FF0000"/>
          <w:sz w:val="32"/>
          <w:szCs w:val="32"/>
          <w:lang w:eastAsia="zh-CN"/>
        </w:rPr>
        <w:t>不能提供</w:t>
      </w:r>
      <w:r>
        <w:rPr>
          <w:rFonts w:hint="eastAsia" w:ascii="仿宋_GB2312" w:eastAsia="仿宋_GB2312"/>
          <w:b/>
          <w:bCs w:val="0"/>
          <w:color w:val="FF0000"/>
          <w:sz w:val="32"/>
          <w:szCs w:val="32"/>
          <w:lang w:val="en-US" w:eastAsia="zh-CN"/>
        </w:rPr>
        <w:t>24小时</w:t>
      </w:r>
      <w:r>
        <w:rPr>
          <w:rFonts w:ascii="仿宋_GB2312" w:eastAsia="仿宋_GB2312"/>
          <w:b/>
          <w:bCs w:val="0"/>
          <w:color w:val="FF0000"/>
          <w:sz w:val="32"/>
          <w:szCs w:val="32"/>
        </w:rPr>
        <w:t>内核酸检测阴性证明</w:t>
      </w:r>
      <w:r>
        <w:rPr>
          <w:rFonts w:hint="eastAsia" w:ascii="仿宋_GB2312" w:eastAsia="仿宋_GB2312"/>
          <w:b/>
          <w:bCs w:val="0"/>
          <w:color w:val="FF0000"/>
          <w:sz w:val="32"/>
          <w:szCs w:val="32"/>
        </w:rPr>
        <w:t>的</w:t>
      </w:r>
      <w:r>
        <w:rPr>
          <w:rFonts w:ascii="仿宋_GB2312" w:eastAsia="仿宋_GB2312"/>
          <w:bCs/>
          <w:sz w:val="32"/>
          <w:szCs w:val="32"/>
        </w:rPr>
        <w:t>。</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w:t>
      </w:r>
      <w:r>
        <w:rPr>
          <w:rFonts w:hint="eastAsia" w:ascii="仿宋_GB2312" w:eastAsia="仿宋_GB2312"/>
          <w:bCs/>
          <w:sz w:val="32"/>
          <w:szCs w:val="32"/>
          <w:lang w:val="en-US" w:eastAsia="zh-CN"/>
        </w:rPr>
        <w:t xml:space="preserve"> </w:t>
      </w:r>
      <w:r>
        <w:rPr>
          <w:rFonts w:hint="eastAsia" w:ascii="仿宋_GB2312" w:eastAsia="仿宋_GB2312"/>
          <w:bCs/>
          <w:sz w:val="32"/>
          <w:szCs w:val="32"/>
        </w:rPr>
        <w:t>其他经综合评估不能进入考点的。</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四</w:t>
      </w:r>
      <w:r>
        <w:rPr>
          <w:rFonts w:hint="eastAsia" w:ascii="仿宋_GB2312" w:eastAsia="仿宋_GB2312"/>
          <w:sz w:val="32"/>
          <w:szCs w:val="32"/>
        </w:rPr>
        <w:t>、其他注意事项</w:t>
      </w:r>
    </w:p>
    <w:p>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（一）来自国（境）外或国内中高风险地区的考生，因有旅行管制或隔离要求造成无法参加招聘流程的，视为正常放弃。如隐瞒情况擅自参加报名流程造成不良后果的，责任自负。</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（二）考生应自备一次性医用外科口罩。在考点入场时，要提前戴好口罩，打开手机“健康码”，并主动出示“健康码”、“行程码”。同时提交健康申报表和承诺书。</w:t>
      </w:r>
    </w:p>
    <w:p>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（三）以下情况须戴口罩，如有不戴后果自负。①进入考点入口时；②招聘程序过程中；③招聘程序结束离场时；此外，为确保考生与他人健康安全，建议全程戴口罩。</w:t>
      </w:r>
    </w:p>
    <w:p>
      <w:pPr>
        <w:adjustRightInd w:val="0"/>
        <w:snapToGrid w:val="0"/>
        <w:spacing w:line="540" w:lineRule="exact"/>
        <w:ind w:firstLine="66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）咨询电话：0571-</w:t>
      </w:r>
      <w:r>
        <w:rPr>
          <w:rFonts w:hint="eastAsia" w:ascii="仿宋_GB2312" w:eastAsia="仿宋_GB2312"/>
          <w:sz w:val="32"/>
          <w:szCs w:val="32"/>
          <w:lang w:val="en-US" w:eastAsia="zh-CN"/>
        </w:rPr>
        <w:t>87283067</w:t>
      </w:r>
      <w:r>
        <w:rPr>
          <w:rFonts w:hint="eastAsia" w:ascii="仿宋_GB2312" w:eastAsia="仿宋_GB2312"/>
          <w:sz w:val="32"/>
          <w:szCs w:val="32"/>
        </w:rPr>
        <w:t>（工作日：9:00-12：00</w:t>
      </w:r>
      <w:r>
        <w:rPr>
          <w:rFonts w:hint="eastAsia" w:ascii="仿宋_GB2312" w:eastAsia="仿宋_GB2312"/>
          <w:sz w:val="32"/>
          <w:szCs w:val="32"/>
          <w:lang w:eastAsia="zh-CN"/>
        </w:rPr>
        <w:t>，</w:t>
      </w:r>
      <w:r>
        <w:rPr>
          <w:rFonts w:hint="eastAsia" w:ascii="仿宋_GB2312" w:eastAsia="仿宋_GB2312"/>
          <w:sz w:val="32"/>
          <w:szCs w:val="32"/>
        </w:rPr>
        <w:t>14:00-17:</w:t>
      </w:r>
      <w:r>
        <w:rPr>
          <w:rFonts w:hint="eastAsia" w:ascii="仿宋_GB2312" w:eastAsia="仿宋_GB2312"/>
          <w:sz w:val="32"/>
          <w:szCs w:val="32"/>
          <w:lang w:val="en-US" w:eastAsia="zh-CN"/>
        </w:rPr>
        <w:t>0</w:t>
      </w:r>
      <w:r>
        <w:rPr>
          <w:rFonts w:hint="eastAsia" w:ascii="仿宋_GB2312" w:eastAsia="仿宋_GB2312"/>
          <w:sz w:val="32"/>
          <w:szCs w:val="32"/>
        </w:rPr>
        <w:t>0）。</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注：1.本须知内容视疫情变化情况，动态调整。考生可根据“国务院客户端”微信小程序实时查询地区的疫情风险等级。</w:t>
      </w:r>
    </w:p>
    <w:p>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2.流行病学史，指国（境）外和国内中高风险地区旅居史，与新冠肺炎患者接触史等。</w:t>
      </w:r>
    </w:p>
    <w:p>
      <w:pPr>
        <w:pStyle w:val="4"/>
        <w:widowControl/>
        <w:spacing w:before="0" w:beforeAutospacing="0" w:after="200" w:afterAutospacing="0" w:line="360" w:lineRule="atLeast"/>
        <w:jc w:val="center"/>
        <w:rPr>
          <w:rFonts w:cs="Calibri"/>
          <w:color w:val="000000"/>
          <w:sz w:val="21"/>
          <w:szCs w:val="21"/>
        </w:rPr>
      </w:pPr>
      <w:r>
        <w:rPr>
          <w:rFonts w:hint="eastAsia" w:ascii="宋体" w:hAnsi="宋体" w:cs="宋体"/>
          <w:b/>
          <w:bCs/>
          <w:color w:val="111F2C"/>
          <w:sz w:val="36"/>
          <w:szCs w:val="36"/>
          <w:shd w:val="clear" w:color="auto" w:fill="FFFFFF"/>
        </w:rPr>
        <w:t>个人健康申报表</w:t>
      </w:r>
    </w:p>
    <w:tbl>
      <w:tblPr>
        <w:tblStyle w:val="5"/>
        <w:tblW w:w="7957" w:type="dxa"/>
        <w:jc w:val="center"/>
        <w:tblLayout w:type="fixed"/>
        <w:tblCellMar>
          <w:top w:w="0" w:type="dxa"/>
          <w:left w:w="0" w:type="dxa"/>
          <w:bottom w:w="0" w:type="dxa"/>
          <w:right w:w="0" w:type="dxa"/>
        </w:tblCellMar>
      </w:tblPr>
      <w:tblGrid>
        <w:gridCol w:w="5293"/>
        <w:gridCol w:w="2664"/>
      </w:tblGrid>
      <w:tr>
        <w:tblPrEx>
          <w:tblCellMar>
            <w:top w:w="0" w:type="dxa"/>
            <w:left w:w="0" w:type="dxa"/>
            <w:bottom w:w="0" w:type="dxa"/>
            <w:right w:w="0" w:type="dxa"/>
          </w:tblCellMar>
        </w:tblPrEx>
        <w:trPr>
          <w:trHeight w:val="593"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rFonts w:ascii="仿宋" w:hAnsi="仿宋" w:eastAsia="仿宋" w:cs="仿宋"/>
              </w:rPr>
              <w:t>1</w:t>
            </w:r>
            <w:r>
              <w:rPr>
                <w:rFonts w:hint="eastAsia" w:ascii="仿宋" w:hAnsi="仿宋" w:eastAsia="仿宋" w:cs="仿宋"/>
              </w:rPr>
              <w:t>.本人是否已申领并取得</w:t>
            </w:r>
            <w:r>
              <w:rPr>
                <w:rFonts w:hint="eastAsia" w:ascii="仿宋" w:hAnsi="仿宋" w:eastAsia="仿宋" w:cs="仿宋"/>
                <w:lang w:eastAsia="zh-CN"/>
              </w:rPr>
              <w:t>杭州</w:t>
            </w:r>
            <w:r>
              <w:rPr>
                <w:rFonts w:hint="eastAsia" w:ascii="仿宋" w:hAnsi="仿宋" w:eastAsia="仿宋" w:cs="仿宋"/>
              </w:rPr>
              <w:t>“健康码”绿码？</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0288" behindDoc="0" locked="0" layoutInCell="1" allowOverlap="1">
                  <wp:simplePos x="0" y="0"/>
                  <wp:positionH relativeFrom="column">
                    <wp:posOffset>797560</wp:posOffset>
                  </wp:positionH>
                  <wp:positionV relativeFrom="paragraph">
                    <wp:posOffset>110490</wp:posOffset>
                  </wp:positionV>
                  <wp:extent cx="427355" cy="170180"/>
                  <wp:effectExtent l="0" t="0" r="10795" b="1270"/>
                  <wp:wrapNone/>
                  <wp:docPr id="15" name="OptionButton2"/>
                  <wp:cNvGraphicFramePr/>
                  <a:graphic xmlns:a="http://schemas.openxmlformats.org/drawingml/2006/main">
                    <a:graphicData uri="http://schemas.openxmlformats.org/drawingml/2006/picture">
                      <pic:pic xmlns:pic="http://schemas.openxmlformats.org/drawingml/2006/picture">
                        <pic:nvPicPr>
                          <pic:cNvPr id="15" name="OptionButton2"/>
                          <pic:cNvPicPr/>
                        </pic:nvPicPr>
                        <pic:blipFill>
                          <a:blip r:embed="rId5"/>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6"/>
                          </a:extLst>
                        </pic:spPr>
                      </pic:pic>
                    </a:graphicData>
                  </a:graphic>
                </wp:anchor>
              </w:drawing>
            </w:r>
            <w:r>
              <w:rPr>
                <w:sz w:val="24"/>
              </w:rPr>
              <w:drawing>
                <wp:anchor distT="0" distB="0" distL="114300" distR="114300" simplePos="0" relativeHeight="251659264" behindDoc="0" locked="0" layoutInCell="1" allowOverlap="1">
                  <wp:simplePos x="0" y="0"/>
                  <wp:positionH relativeFrom="column">
                    <wp:posOffset>158115</wp:posOffset>
                  </wp:positionH>
                  <wp:positionV relativeFrom="paragraph">
                    <wp:posOffset>106045</wp:posOffset>
                  </wp:positionV>
                  <wp:extent cx="427355" cy="170180"/>
                  <wp:effectExtent l="0" t="0" r="10795" b="1270"/>
                  <wp:wrapNone/>
                  <wp:docPr id="14" name="OptionButton1"/>
                  <wp:cNvGraphicFramePr/>
                  <a:graphic xmlns:a="http://schemas.openxmlformats.org/drawingml/2006/main">
                    <a:graphicData uri="http://schemas.openxmlformats.org/drawingml/2006/picture">
                      <pic:pic xmlns:pic="http://schemas.openxmlformats.org/drawingml/2006/picture">
                        <pic:nvPicPr>
                          <pic:cNvPr id="14" name="OptionButton1"/>
                          <pic:cNvPicPr/>
                        </pic:nvPicPr>
                        <pic:blipFill>
                          <a:blip r:embed="rId7"/>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8"/>
                          </a:extLst>
                        </pic:spPr>
                      </pic:pic>
                    </a:graphicData>
                  </a:graphic>
                </wp:anchor>
              </w:drawing>
            </w:r>
          </w:p>
        </w:tc>
      </w:tr>
      <w:tr>
        <w:tblPrEx>
          <w:tblCellMar>
            <w:top w:w="0" w:type="dxa"/>
            <w:left w:w="0" w:type="dxa"/>
            <w:bottom w:w="0" w:type="dxa"/>
            <w:right w:w="0" w:type="dxa"/>
          </w:tblCellMar>
        </w:tblPrEx>
        <w:trPr>
          <w:trHeight w:val="1591"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2.本人在</w:t>
            </w:r>
            <w:r>
              <w:rPr>
                <w:rFonts w:hint="eastAsia" w:ascii="仿宋" w:hAnsi="仿宋" w:eastAsia="仿宋" w:cs="仿宋"/>
                <w:lang w:eastAsia="zh-CN"/>
              </w:rPr>
              <w:t>现场资格审查前</w:t>
            </w:r>
            <w:r>
              <w:rPr>
                <w:rFonts w:hint="eastAsia" w:ascii="仿宋" w:hAnsi="仿宋" w:eastAsia="仿宋" w:cs="仿宋"/>
              </w:rPr>
              <w:t>21天内是否有国（境）外和国内中高风险地区旅居史？（注：按照浙江防疫要求，对入境来浙人员实施“14+7+7”健康管理措施，国内中高风险地区来浙人员实施“14+7”健康管理措施）</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2336" behindDoc="0" locked="0" layoutInCell="1" allowOverlap="1">
                  <wp:simplePos x="0" y="0"/>
                  <wp:positionH relativeFrom="column">
                    <wp:posOffset>791210</wp:posOffset>
                  </wp:positionH>
                  <wp:positionV relativeFrom="paragraph">
                    <wp:posOffset>413385</wp:posOffset>
                  </wp:positionV>
                  <wp:extent cx="427355" cy="170180"/>
                  <wp:effectExtent l="0" t="0" r="10795" b="1270"/>
                  <wp:wrapNone/>
                  <wp:docPr id="16" name="OptionButton4"/>
                  <wp:cNvGraphicFramePr/>
                  <a:graphic xmlns:a="http://schemas.openxmlformats.org/drawingml/2006/main">
                    <a:graphicData uri="http://schemas.openxmlformats.org/drawingml/2006/picture">
                      <pic:pic xmlns:pic="http://schemas.openxmlformats.org/drawingml/2006/picture">
                        <pic:nvPicPr>
                          <pic:cNvPr id="16" name="OptionButton4"/>
                          <pic:cNvPicPr/>
                        </pic:nvPicPr>
                        <pic:blipFill>
                          <a:blip r:embed="rId9"/>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0"/>
                          </a:extLst>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151765</wp:posOffset>
                  </wp:positionH>
                  <wp:positionV relativeFrom="paragraph">
                    <wp:posOffset>408940</wp:posOffset>
                  </wp:positionV>
                  <wp:extent cx="427355" cy="170180"/>
                  <wp:effectExtent l="0" t="0" r="10795" b="1270"/>
                  <wp:wrapNone/>
                  <wp:docPr id="17" name="OptionButton3"/>
                  <wp:cNvGraphicFramePr/>
                  <a:graphic xmlns:a="http://schemas.openxmlformats.org/drawingml/2006/main">
                    <a:graphicData uri="http://schemas.openxmlformats.org/drawingml/2006/picture">
                      <pic:pic xmlns:pic="http://schemas.openxmlformats.org/drawingml/2006/picture">
                        <pic:nvPicPr>
                          <pic:cNvPr id="17" name="OptionButton3"/>
                          <pic:cNvPicPr/>
                        </pic:nvPicPr>
                        <pic:blipFill>
                          <a:blip r:embed="rId7"/>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1"/>
                          </a:extLst>
                        </pic:spPr>
                      </pic:pic>
                    </a:graphicData>
                  </a:graphic>
                </wp:anchor>
              </w:drawing>
            </w:r>
            <w:r>
              <w:rPr>
                <w:rFonts w:hint="eastAsia" w:ascii="仿宋" w:hAnsi="仿宋" w:eastAsia="仿宋" w:cs="仿宋"/>
              </w:rPr>
              <w:t> </w:t>
            </w:r>
          </w:p>
        </w:tc>
      </w:tr>
      <w:tr>
        <w:tblPrEx>
          <w:tblCellMar>
            <w:top w:w="0" w:type="dxa"/>
            <w:left w:w="0" w:type="dxa"/>
            <w:bottom w:w="0" w:type="dxa"/>
            <w:right w:w="0" w:type="dxa"/>
          </w:tblCellMar>
        </w:tblPrEx>
        <w:trPr>
          <w:trHeight w:val="1187"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rFonts w:hint="eastAsia" w:ascii="仿宋" w:hAnsi="仿宋" w:eastAsia="仿宋" w:cs="仿宋"/>
              </w:rPr>
              <w:t>3.本人在</w:t>
            </w:r>
            <w:r>
              <w:rPr>
                <w:rFonts w:hint="eastAsia" w:ascii="仿宋" w:hAnsi="仿宋" w:eastAsia="仿宋" w:cs="仿宋"/>
                <w:lang w:eastAsia="zh-CN"/>
              </w:rPr>
              <w:t>现场资格审查前</w:t>
            </w:r>
            <w:r>
              <w:rPr>
                <w:rFonts w:hint="eastAsia" w:ascii="仿宋" w:hAnsi="仿宋" w:eastAsia="仿宋" w:cs="仿宋"/>
              </w:rPr>
              <w:t>14天内是否有国内疫情中高风险地区所在</w:t>
            </w:r>
            <w:r>
              <w:rPr>
                <w:rFonts w:ascii="仿宋" w:hAnsi="仿宋" w:eastAsia="仿宋" w:cs="仿宋"/>
              </w:rPr>
              <w:t>县</w:t>
            </w:r>
            <w:r>
              <w:rPr>
                <w:rFonts w:hint="eastAsia" w:ascii="仿宋" w:hAnsi="仿宋" w:eastAsia="仿宋" w:cs="仿宋"/>
              </w:rPr>
              <w:t>(市、区）旅居史？（注：按照浙江防疫要求，对国内中高风险地区所在</w:t>
            </w:r>
            <w:r>
              <w:rPr>
                <w:rFonts w:ascii="仿宋" w:hAnsi="仿宋" w:eastAsia="仿宋" w:cs="仿宋"/>
              </w:rPr>
              <w:t>县</w:t>
            </w:r>
            <w:r>
              <w:rPr>
                <w:rFonts w:hint="eastAsia" w:ascii="仿宋" w:hAnsi="仿宋" w:eastAsia="仿宋" w:cs="仿宋"/>
              </w:rPr>
              <w:t>（市、区）来浙人员实施“7+7”健康管理措施）</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3360" behindDoc="0" locked="0" layoutInCell="1" allowOverlap="1">
                  <wp:simplePos x="0" y="0"/>
                  <wp:positionH relativeFrom="column">
                    <wp:posOffset>146685</wp:posOffset>
                  </wp:positionH>
                  <wp:positionV relativeFrom="paragraph">
                    <wp:posOffset>340360</wp:posOffset>
                  </wp:positionV>
                  <wp:extent cx="427355" cy="170180"/>
                  <wp:effectExtent l="0" t="0" r="10795" b="1270"/>
                  <wp:wrapNone/>
                  <wp:docPr id="19" name="OptionButton5"/>
                  <wp:cNvGraphicFramePr/>
                  <a:graphic xmlns:a="http://schemas.openxmlformats.org/drawingml/2006/main">
                    <a:graphicData uri="http://schemas.openxmlformats.org/drawingml/2006/picture">
                      <pic:pic xmlns:pic="http://schemas.openxmlformats.org/drawingml/2006/picture">
                        <pic:nvPicPr>
                          <pic:cNvPr id="19" name="OptionButton5"/>
                          <pic:cNvPicPr/>
                        </pic:nvPicPr>
                        <pic:blipFill>
                          <a:blip r:embed="rId7"/>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2"/>
                          </a:extLst>
                        </pic:spPr>
                      </pic:pic>
                    </a:graphicData>
                  </a:graphic>
                </wp:anchor>
              </w:drawing>
            </w:r>
            <w:r>
              <w:rPr>
                <w:sz w:val="24"/>
              </w:rPr>
              <w:drawing>
                <wp:anchor distT="0" distB="0" distL="114300" distR="114300" simplePos="0" relativeHeight="251664384" behindDoc="0" locked="0" layoutInCell="1" allowOverlap="1">
                  <wp:simplePos x="0" y="0"/>
                  <wp:positionH relativeFrom="column">
                    <wp:posOffset>786130</wp:posOffset>
                  </wp:positionH>
                  <wp:positionV relativeFrom="paragraph">
                    <wp:posOffset>344805</wp:posOffset>
                  </wp:positionV>
                  <wp:extent cx="427355" cy="170180"/>
                  <wp:effectExtent l="0" t="0" r="10795" b="1270"/>
                  <wp:wrapNone/>
                  <wp:docPr id="18" name="OptionButton6"/>
                  <wp:cNvGraphicFramePr/>
                  <a:graphic xmlns:a="http://schemas.openxmlformats.org/drawingml/2006/main">
                    <a:graphicData uri="http://schemas.openxmlformats.org/drawingml/2006/picture">
                      <pic:pic xmlns:pic="http://schemas.openxmlformats.org/drawingml/2006/picture">
                        <pic:nvPicPr>
                          <pic:cNvPr id="18" name="OptionButton6"/>
                          <pic:cNvPicPr/>
                        </pic:nvPicPr>
                        <pic:blipFill>
                          <a:blip r:embed="rId9"/>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3"/>
                          </a:extLst>
                        </pic:spPr>
                      </pic:pic>
                    </a:graphicData>
                  </a:graphic>
                </wp:anchor>
              </w:drawing>
            </w:r>
          </w:p>
        </w:tc>
      </w:tr>
      <w:tr>
        <w:tblPrEx>
          <w:tblCellMar>
            <w:top w:w="0" w:type="dxa"/>
            <w:left w:w="0" w:type="dxa"/>
            <w:bottom w:w="0" w:type="dxa"/>
            <w:right w:w="0" w:type="dxa"/>
          </w:tblCellMar>
        </w:tblPrEx>
        <w:trPr>
          <w:trHeight w:val="1187"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shd w:val="pct10" w:color="auto" w:fill="FFFFFF"/>
              </w:rPr>
            </w:pPr>
            <w:r>
              <w:rPr>
                <w:rFonts w:hint="eastAsia" w:ascii="仿宋" w:hAnsi="仿宋" w:eastAsia="仿宋" w:cs="仿宋"/>
              </w:rPr>
              <w:t>4.本人在</w:t>
            </w:r>
            <w:r>
              <w:rPr>
                <w:rFonts w:hint="eastAsia" w:ascii="仿宋" w:hAnsi="仿宋" w:eastAsia="仿宋" w:cs="仿宋"/>
                <w:lang w:eastAsia="zh-CN"/>
              </w:rPr>
              <w:t>现场资格审查前</w:t>
            </w:r>
            <w:r>
              <w:rPr>
                <w:rFonts w:hint="eastAsia" w:ascii="仿宋" w:hAnsi="仿宋" w:eastAsia="仿宋" w:cs="仿宋"/>
              </w:rPr>
              <w:t>14天内是否有已出现本土阳性病例报告尚未划分风险等级的县（市、区）旅居史？（注：按照浙江防疫要求，</w:t>
            </w:r>
            <w:r>
              <w:rPr>
                <w:rFonts w:hint="eastAsia" w:ascii="仿宋" w:hAnsi="仿宋" w:eastAsia="仿宋" w:cs="仿宋"/>
                <w:lang w:eastAsia="zh-CN"/>
              </w:rPr>
              <w:t>现场资格审查前</w:t>
            </w:r>
            <w:r>
              <w:rPr>
                <w:rFonts w:hint="eastAsia" w:ascii="仿宋" w:hAnsi="仿宋" w:eastAsia="仿宋" w:cs="仿宋"/>
              </w:rPr>
              <w:t>14天内有上述地区旅居史的考生须实施14天日常健康监测，并提供48小时内核酸检测阴性报告。）</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Wingdings 2" w:hAnsi="Wingdings 2" w:eastAsia="Wingdings 2" w:cs="Wingdings 2"/>
              </w:rPr>
            </w:pPr>
            <w:r>
              <w:rPr>
                <w:sz w:val="24"/>
              </w:rPr>
              <w:drawing>
                <wp:anchor distT="0" distB="0" distL="114300" distR="114300" simplePos="0" relativeHeight="251666432" behindDoc="0" locked="0" layoutInCell="1" allowOverlap="1">
                  <wp:simplePos x="0" y="0"/>
                  <wp:positionH relativeFrom="column">
                    <wp:posOffset>800735</wp:posOffset>
                  </wp:positionH>
                  <wp:positionV relativeFrom="paragraph">
                    <wp:posOffset>449580</wp:posOffset>
                  </wp:positionV>
                  <wp:extent cx="427355" cy="170180"/>
                  <wp:effectExtent l="0" t="0" r="10795" b="1270"/>
                  <wp:wrapNone/>
                  <wp:docPr id="21" name="OptionButton7"/>
                  <wp:cNvGraphicFramePr/>
                  <a:graphic xmlns:a="http://schemas.openxmlformats.org/drawingml/2006/main">
                    <a:graphicData uri="http://schemas.openxmlformats.org/drawingml/2006/picture">
                      <pic:pic xmlns:pic="http://schemas.openxmlformats.org/drawingml/2006/picture">
                        <pic:nvPicPr>
                          <pic:cNvPr id="21" name="OptionButton7"/>
                          <pic:cNvPicPr/>
                        </pic:nvPicPr>
                        <pic:blipFill>
                          <a:blip r:embed="rId5"/>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4"/>
                          </a:extLst>
                        </pic:spPr>
                      </pic:pic>
                    </a:graphicData>
                  </a:graphic>
                </wp:anchor>
              </w:drawing>
            </w:r>
            <w:r>
              <w:rPr>
                <w:sz w:val="24"/>
              </w:rPr>
              <w:drawing>
                <wp:anchor distT="0" distB="0" distL="114300" distR="114300" simplePos="0" relativeHeight="251665408" behindDoc="0" locked="0" layoutInCell="1" allowOverlap="1">
                  <wp:simplePos x="0" y="0"/>
                  <wp:positionH relativeFrom="column">
                    <wp:posOffset>161290</wp:posOffset>
                  </wp:positionH>
                  <wp:positionV relativeFrom="paragraph">
                    <wp:posOffset>445135</wp:posOffset>
                  </wp:positionV>
                  <wp:extent cx="427355" cy="170180"/>
                  <wp:effectExtent l="0" t="0" r="10795" b="1270"/>
                  <wp:wrapNone/>
                  <wp:docPr id="20" name="OptionButton8"/>
                  <wp:cNvGraphicFramePr/>
                  <a:graphic xmlns:a="http://schemas.openxmlformats.org/drawingml/2006/main">
                    <a:graphicData uri="http://schemas.openxmlformats.org/drawingml/2006/picture">
                      <pic:pic xmlns:pic="http://schemas.openxmlformats.org/drawingml/2006/picture">
                        <pic:nvPicPr>
                          <pic:cNvPr id="20" name="OptionButton8"/>
                          <pic:cNvPicPr/>
                        </pic:nvPicPr>
                        <pic:blipFill>
                          <a:blip r:embed="rId7"/>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5"/>
                          </a:extLst>
                        </pic:spPr>
                      </pic:pic>
                    </a:graphicData>
                  </a:graphic>
                </wp:anchor>
              </w:drawing>
            </w:r>
          </w:p>
        </w:tc>
      </w:tr>
      <w:tr>
        <w:tblPrEx>
          <w:tblCellMar>
            <w:top w:w="0" w:type="dxa"/>
            <w:left w:w="0" w:type="dxa"/>
            <w:bottom w:w="0" w:type="dxa"/>
            <w:right w:w="0" w:type="dxa"/>
          </w:tblCellMar>
        </w:tblPrEx>
        <w:trPr>
          <w:trHeight w:val="825"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rFonts w:ascii="仿宋" w:hAnsi="仿宋" w:eastAsia="仿宋" w:cs="仿宋"/>
              </w:rPr>
              <w:t>5</w:t>
            </w:r>
            <w:r>
              <w:rPr>
                <w:rFonts w:hint="eastAsia" w:ascii="仿宋" w:hAnsi="仿宋" w:eastAsia="仿宋" w:cs="仿宋"/>
              </w:rPr>
              <w:t>.本人是否为既往新冠肺炎确诊病例、无症状感染者或密切接触者、次密切接触者？</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7456" behindDoc="0" locked="0" layoutInCell="1" allowOverlap="1">
                  <wp:simplePos x="0" y="0"/>
                  <wp:positionH relativeFrom="column">
                    <wp:posOffset>154940</wp:posOffset>
                  </wp:positionH>
                  <wp:positionV relativeFrom="paragraph">
                    <wp:posOffset>176530</wp:posOffset>
                  </wp:positionV>
                  <wp:extent cx="427355" cy="170180"/>
                  <wp:effectExtent l="0" t="0" r="10795" b="1270"/>
                  <wp:wrapNone/>
                  <wp:docPr id="23" name="OptionButton9"/>
                  <wp:cNvGraphicFramePr/>
                  <a:graphic xmlns:a="http://schemas.openxmlformats.org/drawingml/2006/main">
                    <a:graphicData uri="http://schemas.openxmlformats.org/drawingml/2006/picture">
                      <pic:pic xmlns:pic="http://schemas.openxmlformats.org/drawingml/2006/picture">
                        <pic:nvPicPr>
                          <pic:cNvPr id="23" name="OptionButton9"/>
                          <pic:cNvPicPr/>
                        </pic:nvPicPr>
                        <pic:blipFill>
                          <a:blip r:embed="rId16"/>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7"/>
                          </a:extLst>
                        </pic:spPr>
                      </pic:pic>
                    </a:graphicData>
                  </a:graphic>
                </wp:anchor>
              </w:drawing>
            </w:r>
            <w:r>
              <w:rPr>
                <w:sz w:val="24"/>
              </w:rPr>
              <w:drawing>
                <wp:anchor distT="0" distB="0" distL="114300" distR="114300" simplePos="0" relativeHeight="251668480" behindDoc="0" locked="0" layoutInCell="1" allowOverlap="1">
                  <wp:simplePos x="0" y="0"/>
                  <wp:positionH relativeFrom="column">
                    <wp:posOffset>794385</wp:posOffset>
                  </wp:positionH>
                  <wp:positionV relativeFrom="paragraph">
                    <wp:posOffset>180975</wp:posOffset>
                  </wp:positionV>
                  <wp:extent cx="427355" cy="170180"/>
                  <wp:effectExtent l="0" t="0" r="10795" b="1270"/>
                  <wp:wrapNone/>
                  <wp:docPr id="22" name="OptionButton10"/>
                  <wp:cNvGraphicFramePr/>
                  <a:graphic xmlns:a="http://schemas.openxmlformats.org/drawingml/2006/main">
                    <a:graphicData uri="http://schemas.openxmlformats.org/drawingml/2006/picture">
                      <pic:pic xmlns:pic="http://schemas.openxmlformats.org/drawingml/2006/picture">
                        <pic:nvPicPr>
                          <pic:cNvPr id="22" name="OptionButton10"/>
                          <pic:cNvPicPr/>
                        </pic:nvPicPr>
                        <pic:blipFill>
                          <a:blip r:embed="rId9"/>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8"/>
                          </a:extLst>
                        </pic:spPr>
                      </pic:pic>
                    </a:graphicData>
                  </a:graphic>
                </wp:anchor>
              </w:drawing>
            </w:r>
          </w:p>
        </w:tc>
      </w:tr>
      <w:tr>
        <w:tblPrEx>
          <w:tblCellMar>
            <w:top w:w="0" w:type="dxa"/>
            <w:left w:w="0" w:type="dxa"/>
            <w:bottom w:w="0" w:type="dxa"/>
            <w:right w:w="0" w:type="dxa"/>
          </w:tblCellMar>
        </w:tblPrEx>
        <w:trPr>
          <w:trHeight w:val="825"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6.本人是否为仍在隔离治疗中的新冠肺炎确诊病例、疑似病例、无症状感染者、集中隔离期未满的密切接触者和次密切接触者？</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9504" behindDoc="0" locked="0" layoutInCell="1" allowOverlap="1">
                  <wp:simplePos x="0" y="0"/>
                  <wp:positionH relativeFrom="column">
                    <wp:posOffset>158115</wp:posOffset>
                  </wp:positionH>
                  <wp:positionV relativeFrom="paragraph">
                    <wp:posOffset>249555</wp:posOffset>
                  </wp:positionV>
                  <wp:extent cx="427355" cy="170180"/>
                  <wp:effectExtent l="0" t="0" r="10795" b="1270"/>
                  <wp:wrapNone/>
                  <wp:docPr id="24" name="OptionButton12"/>
                  <wp:cNvGraphicFramePr/>
                  <a:graphic xmlns:a="http://schemas.openxmlformats.org/drawingml/2006/main">
                    <a:graphicData uri="http://schemas.openxmlformats.org/drawingml/2006/picture">
                      <pic:pic xmlns:pic="http://schemas.openxmlformats.org/drawingml/2006/picture">
                        <pic:nvPicPr>
                          <pic:cNvPr id="24" name="OptionButton12"/>
                          <pic:cNvPicPr/>
                        </pic:nvPicPr>
                        <pic:blipFill>
                          <a:blip r:embed="rId7"/>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9"/>
                          </a:extLst>
                        </pic:spPr>
                      </pic:pic>
                    </a:graphicData>
                  </a:graphic>
                </wp:anchor>
              </w:drawing>
            </w:r>
            <w:r>
              <w:rPr>
                <w:sz w:val="24"/>
              </w:rPr>
              <w:drawing>
                <wp:anchor distT="0" distB="0" distL="114300" distR="114300" simplePos="0" relativeHeight="251670528" behindDoc="0" locked="0" layoutInCell="1" allowOverlap="1">
                  <wp:simplePos x="0" y="0"/>
                  <wp:positionH relativeFrom="column">
                    <wp:posOffset>797560</wp:posOffset>
                  </wp:positionH>
                  <wp:positionV relativeFrom="paragraph">
                    <wp:posOffset>254000</wp:posOffset>
                  </wp:positionV>
                  <wp:extent cx="427355" cy="170180"/>
                  <wp:effectExtent l="0" t="0" r="10795" b="1270"/>
                  <wp:wrapNone/>
                  <wp:docPr id="25" name="OptionButton11"/>
                  <wp:cNvGraphicFramePr/>
                  <a:graphic xmlns:a="http://schemas.openxmlformats.org/drawingml/2006/main">
                    <a:graphicData uri="http://schemas.openxmlformats.org/drawingml/2006/picture">
                      <pic:pic xmlns:pic="http://schemas.openxmlformats.org/drawingml/2006/picture">
                        <pic:nvPicPr>
                          <pic:cNvPr id="25" name="OptionButton11"/>
                          <pic:cNvPicPr/>
                        </pic:nvPicPr>
                        <pic:blipFill>
                          <a:blip r:embed="rId9"/>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20"/>
                          </a:extLst>
                        </pic:spPr>
                      </pic:pic>
                    </a:graphicData>
                  </a:graphic>
                </wp:anchor>
              </w:drawing>
            </w:r>
          </w:p>
        </w:tc>
      </w:tr>
      <w:tr>
        <w:tblPrEx>
          <w:tblCellMar>
            <w:top w:w="0" w:type="dxa"/>
            <w:left w:w="0" w:type="dxa"/>
            <w:bottom w:w="0" w:type="dxa"/>
            <w:right w:w="0" w:type="dxa"/>
          </w:tblCellMar>
        </w:tblPrEx>
        <w:trPr>
          <w:trHeight w:val="1790" w:hRule="atLeast"/>
          <w:jc w:val="center"/>
        </w:trPr>
        <w:tc>
          <w:tcPr>
            <w:tcW w:w="7957" w:type="dxa"/>
            <w:gridSpan w:val="2"/>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7.本人</w:t>
            </w:r>
            <w:r>
              <w:rPr>
                <w:rFonts w:hint="eastAsia" w:ascii="仿宋" w:hAnsi="仿宋" w:eastAsia="仿宋" w:cs="仿宋"/>
                <w:lang w:eastAsia="zh-CN"/>
              </w:rPr>
              <w:t>现场资格审查前</w:t>
            </w:r>
            <w:r>
              <w:rPr>
                <w:rFonts w:hint="eastAsia" w:ascii="仿宋" w:hAnsi="仿宋" w:eastAsia="仿宋" w:cs="仿宋"/>
              </w:rPr>
              <w:t>14天内，是否有以下症状？如有请在□内划√。</w:t>
            </w:r>
          </w:p>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症状：□发热</w:t>
            </w:r>
            <w:r>
              <w:rPr>
                <w:rFonts w:hint="eastAsia" w:ascii="仿宋" w:hAnsi="仿宋" w:eastAsia="仿宋" w:cs="仿宋"/>
                <w:lang w:eastAsia="zh-CN"/>
              </w:rPr>
              <w:t>□</w:t>
            </w:r>
            <w:r>
              <w:rPr>
                <w:rFonts w:hint="eastAsia" w:ascii="仿宋" w:hAnsi="仿宋" w:eastAsia="仿宋" w:cs="仿宋"/>
              </w:rPr>
              <w:t>干咳</w:t>
            </w:r>
            <w:r>
              <w:rPr>
                <w:rFonts w:hint="eastAsia" w:ascii="仿宋" w:hAnsi="仿宋" w:eastAsia="仿宋" w:cs="仿宋"/>
                <w:lang w:eastAsia="zh-CN"/>
              </w:rPr>
              <w:t>□</w:t>
            </w:r>
            <w:r>
              <w:rPr>
                <w:rFonts w:hint="eastAsia" w:ascii="仿宋" w:hAnsi="仿宋" w:eastAsia="仿宋" w:cs="仿宋"/>
              </w:rPr>
              <w:t>乏力</w:t>
            </w:r>
            <w:r>
              <w:rPr>
                <w:rFonts w:hint="eastAsia" w:ascii="仿宋" w:hAnsi="仿宋" w:eastAsia="仿宋" w:cs="仿宋"/>
                <w:lang w:eastAsia="zh-CN"/>
              </w:rPr>
              <w:t>□</w:t>
            </w:r>
            <w:r>
              <w:rPr>
                <w:rFonts w:hint="eastAsia" w:ascii="仿宋" w:hAnsi="仿宋" w:eastAsia="仿宋" w:cs="仿宋"/>
              </w:rPr>
              <w:t>鼻塞□流涕□咽痛□嗅（味）觉减退□腹泻</w:t>
            </w:r>
          </w:p>
          <w:p>
            <w:pPr>
              <w:pStyle w:val="4"/>
              <w:widowControl/>
              <w:spacing w:before="0" w:beforeAutospacing="0" w:after="200" w:afterAutospacing="0" w:line="280" w:lineRule="atLeast"/>
              <w:ind w:firstLine="720" w:firstLineChars="300"/>
              <w:jc w:val="both"/>
              <w:rPr>
                <w:rFonts w:hint="default" w:eastAsia="仿宋" w:cs="Calibri"/>
                <w:sz w:val="21"/>
                <w:szCs w:val="21"/>
                <w:u w:val="single"/>
                <w:lang w:val="en-US" w:eastAsia="zh-CN"/>
              </w:rPr>
            </w:pPr>
            <w:r>
              <w:rPr>
                <w:rFonts w:hint="eastAsia" w:ascii="仿宋" w:hAnsi="仿宋" w:eastAsia="仿宋" w:cs="仿宋"/>
              </w:rPr>
              <w:t>□结膜炎□肌痛□其他症状</w:t>
            </w:r>
            <w:r>
              <w:rPr>
                <w:rFonts w:hint="eastAsia" w:ascii="仿宋" w:hAnsi="仿宋" w:eastAsia="仿宋" w:cs="仿宋"/>
                <w:u w:val="single"/>
                <w:lang w:val="en-US" w:eastAsia="zh-CN"/>
              </w:rPr>
              <w:t xml:space="preserve">                                  </w:t>
            </w:r>
          </w:p>
        </w:tc>
      </w:tr>
      <w:tr>
        <w:tblPrEx>
          <w:tblCellMar>
            <w:top w:w="0" w:type="dxa"/>
            <w:left w:w="0" w:type="dxa"/>
            <w:bottom w:w="0" w:type="dxa"/>
            <w:right w:w="0" w:type="dxa"/>
          </w:tblCellMar>
        </w:tblPrEx>
        <w:trPr>
          <w:trHeight w:val="1113" w:hRule="atLeast"/>
          <w:jc w:val="center"/>
        </w:trPr>
        <w:tc>
          <w:tcPr>
            <w:tcW w:w="7957" w:type="dxa"/>
            <w:gridSpan w:val="2"/>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540" w:lineRule="atLeast"/>
              <w:jc w:val="both"/>
              <w:rPr>
                <w:rFonts w:ascii="Wingdings 2" w:hAnsi="Wingdings 2" w:eastAsia="Wingdings 2" w:cs="Wingdings 2"/>
              </w:rPr>
            </w:pPr>
            <w:r>
              <w:rPr>
                <w:rFonts w:hint="eastAsia" w:ascii="仿宋" w:hAnsi="仿宋" w:eastAsia="仿宋" w:cs="仿宋"/>
              </w:rPr>
              <w:t>8.是否有其他需要报告的情况？________________________________</w:t>
            </w:r>
            <w:r>
              <w:rPr>
                <w:rFonts w:hint="eastAsia" w:ascii="仿宋" w:hAnsi="仿宋" w:eastAsia="仿宋" w:cs="仿宋"/>
                <w:lang w:val="en-US" w:eastAsia="zh-CN"/>
              </w:rPr>
              <w:t xml:space="preserve">  </w:t>
            </w:r>
            <w:r>
              <w:rPr>
                <w:rFonts w:hint="eastAsia" w:ascii="仿宋" w:hAnsi="仿宋" w:eastAsia="仿宋" w:cs="仿宋"/>
              </w:rPr>
              <w:t>_（如没有，此栏不需填写。）</w:t>
            </w:r>
          </w:p>
        </w:tc>
      </w:tr>
      <w:tr>
        <w:tblPrEx>
          <w:tblCellMar>
            <w:top w:w="0" w:type="dxa"/>
            <w:left w:w="0" w:type="dxa"/>
            <w:bottom w:w="0" w:type="dxa"/>
            <w:right w:w="0" w:type="dxa"/>
          </w:tblCellMar>
        </w:tblPrEx>
        <w:trPr>
          <w:trHeight w:val="1113" w:hRule="atLeast"/>
          <w:jc w:val="center"/>
        </w:trPr>
        <w:tc>
          <w:tcPr>
            <w:tcW w:w="7957" w:type="dxa"/>
            <w:gridSpan w:val="2"/>
            <w:tcBorders>
              <w:top w:val="nil"/>
              <w:left w:val="nil"/>
              <w:bottom w:val="single" w:color="auto" w:sz="8" w:space="0"/>
              <w:right w:val="nil"/>
            </w:tcBorders>
            <w:shd w:val="clear" w:color="auto" w:fill="auto"/>
            <w:tcMar>
              <w:left w:w="108" w:type="dxa"/>
              <w:right w:w="108" w:type="dxa"/>
            </w:tcMar>
            <w:vAlign w:val="center"/>
          </w:tcPr>
          <w:p>
            <w:pPr>
              <w:ind w:firstLine="4610" w:firstLineChars="1640"/>
              <w:jc w:val="both"/>
              <w:rPr>
                <w:b/>
                <w:sz w:val="28"/>
              </w:rPr>
            </w:pPr>
            <w:r>
              <w:rPr>
                <w:rFonts w:hint="eastAsia"/>
                <w:b/>
                <w:sz w:val="28"/>
              </w:rPr>
              <w:t xml:space="preserve">考生签名：             </w:t>
            </w:r>
          </w:p>
          <w:p>
            <w:pPr>
              <w:pStyle w:val="4"/>
              <w:widowControl/>
              <w:spacing w:before="0" w:beforeAutospacing="0" w:after="200" w:afterAutospacing="0" w:line="540" w:lineRule="atLeast"/>
              <w:jc w:val="right"/>
              <w:rPr>
                <w:rFonts w:ascii="仿宋" w:hAnsi="仿宋" w:eastAsia="仿宋" w:cs="仿宋"/>
              </w:rPr>
            </w:pPr>
            <w:r>
              <w:rPr>
                <w:rFonts w:hint="eastAsia"/>
                <w:b/>
                <w:sz w:val="28"/>
              </w:rPr>
              <w:t xml:space="preserve"> 年</w:t>
            </w:r>
            <w:r>
              <w:rPr>
                <w:rFonts w:hint="eastAsia"/>
                <w:b/>
                <w:sz w:val="28"/>
                <w:lang w:val="en-US" w:eastAsia="zh-CN"/>
              </w:rPr>
              <w:t xml:space="preserve">  </w:t>
            </w:r>
            <w:r>
              <w:rPr>
                <w:rFonts w:hint="eastAsia"/>
                <w:b/>
                <w:sz w:val="28"/>
              </w:rPr>
              <w:t xml:space="preserve">  月 </w:t>
            </w:r>
            <w:r>
              <w:rPr>
                <w:rFonts w:hint="eastAsia"/>
                <w:b/>
                <w:sz w:val="28"/>
                <w:lang w:val="en-US" w:eastAsia="zh-CN"/>
              </w:rPr>
              <w:t xml:space="preserve"> </w:t>
            </w:r>
            <w:r>
              <w:rPr>
                <w:rFonts w:hint="eastAsia"/>
                <w:b/>
                <w:sz w:val="28"/>
              </w:rPr>
              <w:t xml:space="preserve"> 日</w:t>
            </w:r>
          </w:p>
        </w:tc>
      </w:tr>
      <w:tr>
        <w:tblPrEx>
          <w:tblCellMar>
            <w:top w:w="0" w:type="dxa"/>
            <w:left w:w="0" w:type="dxa"/>
            <w:bottom w:w="0" w:type="dxa"/>
            <w:right w:w="0" w:type="dxa"/>
          </w:tblCellMar>
        </w:tblPrEx>
        <w:trPr>
          <w:trHeight w:val="3562" w:hRule="atLeast"/>
          <w:jc w:val="center"/>
        </w:trPr>
        <w:tc>
          <w:tcPr>
            <w:tcW w:w="7957" w:type="dxa"/>
            <w:gridSpan w:val="2"/>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313" w:beforeLines="100" w:after="313" w:afterLines="100" w:line="360" w:lineRule="auto"/>
              <w:jc w:val="center"/>
              <w:textAlignment w:val="auto"/>
              <w:rPr>
                <w:rFonts w:hint="eastAsia" w:ascii="宋体" w:hAnsi="宋体" w:cs="宋体"/>
                <w:b/>
                <w:bCs/>
                <w:sz w:val="36"/>
                <w:szCs w:val="36"/>
              </w:rPr>
            </w:pPr>
            <w:r>
              <w:rPr>
                <w:rFonts w:hint="eastAsia" w:ascii="宋体" w:hAnsi="宋体" w:cs="宋体"/>
                <w:b/>
                <w:bCs/>
                <w:sz w:val="36"/>
                <w:szCs w:val="36"/>
              </w:rPr>
              <w:t>考生承诺书</w:t>
            </w:r>
          </w:p>
          <w:p>
            <w:pPr>
              <w:numPr>
                <w:ilvl w:val="0"/>
                <w:numId w:val="1"/>
              </w:numPr>
              <w:spacing w:line="560" w:lineRule="exact"/>
              <w:ind w:left="280" w:leftChars="0" w:firstLine="0" w:firstLineChars="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本人已详尽阅读《</w:t>
            </w:r>
            <w:r>
              <w:rPr>
                <w:rFonts w:hint="eastAsia" w:ascii="宋体" w:hAnsi="宋体" w:cs="宋体"/>
                <w:b w:val="0"/>
                <w:bCs w:val="0"/>
                <w:sz w:val="28"/>
                <w:szCs w:val="28"/>
              </w:rPr>
              <w:t>2022年杭州市公安局</w:t>
            </w:r>
            <w:r>
              <w:rPr>
                <w:rFonts w:hint="eastAsia" w:ascii="宋体" w:hAnsi="宋体" w:cs="宋体"/>
                <w:b w:val="0"/>
                <w:bCs w:val="0"/>
                <w:sz w:val="28"/>
                <w:szCs w:val="28"/>
                <w:lang w:eastAsia="zh-CN"/>
              </w:rPr>
              <w:t>钱塘区分局</w:t>
            </w:r>
            <w:r>
              <w:rPr>
                <w:rFonts w:hint="eastAsia" w:ascii="宋体" w:hAnsi="宋体" w:cs="宋体"/>
                <w:b w:val="0"/>
                <w:bCs w:val="0"/>
                <w:sz w:val="28"/>
                <w:szCs w:val="28"/>
              </w:rPr>
              <w:t>集中招聘警务辅助人员防疫须知</w:t>
            </w:r>
            <w:r>
              <w:rPr>
                <w:rFonts w:hint="eastAsia" w:ascii="宋体" w:hAnsi="宋体" w:cs="宋体"/>
                <w:b w:val="0"/>
                <w:bCs w:val="0"/>
                <w:sz w:val="28"/>
                <w:szCs w:val="28"/>
                <w:lang w:val="en-US" w:eastAsia="zh-CN"/>
              </w:rPr>
              <w:t>》及疫情防控有关告知事项说明，了解本人健康证明义务及考试防疫要求，自愿遵守考试期间疫情防控管理有关规定。</w:t>
            </w:r>
          </w:p>
          <w:p>
            <w:pPr>
              <w:numPr>
                <w:ilvl w:val="0"/>
                <w:numId w:val="1"/>
              </w:numPr>
              <w:spacing w:line="560" w:lineRule="exact"/>
              <w:ind w:left="280" w:leftChars="0" w:firstLine="0" w:firstLineChars="0"/>
              <w:jc w:val="left"/>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本人</w:t>
            </w:r>
            <w:r>
              <w:rPr>
                <w:rFonts w:hint="eastAsia" w:ascii="宋体" w:hAnsi="宋体" w:cs="宋体"/>
                <w:b w:val="0"/>
                <w:bCs w:val="0"/>
                <w:color w:val="FF0000"/>
                <w:sz w:val="28"/>
                <w:szCs w:val="28"/>
                <w:lang w:val="en-US" w:eastAsia="zh-CN"/>
              </w:rPr>
              <w:t>充分理解并遵守考试期间疫情防控有关要求，自行做好个人防护工作，自觉配合体温测量、健康码、行程码和核酸检测报告查验等工作</w:t>
            </w:r>
            <w:r>
              <w:rPr>
                <w:rFonts w:hint="eastAsia" w:ascii="宋体" w:hAnsi="宋体" w:cs="宋体"/>
                <w:b w:val="0"/>
                <w:bCs w:val="0"/>
                <w:sz w:val="28"/>
                <w:szCs w:val="28"/>
                <w:lang w:val="en-US" w:eastAsia="zh-CN"/>
              </w:rPr>
              <w:t>，本人承诺不存在“不得进入考点”的情形。</w:t>
            </w:r>
          </w:p>
          <w:p>
            <w:pPr>
              <w:numPr>
                <w:ilvl w:val="0"/>
                <w:numId w:val="1"/>
              </w:numPr>
              <w:spacing w:line="560" w:lineRule="exact"/>
              <w:ind w:left="280" w:leftChars="0" w:firstLine="0" w:firstLineChars="0"/>
              <w:jc w:val="left"/>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本人承诺，本人填报、提交和现场出示的所有信息（证明）均真实、准确、完整、有效，如有虚假或隐瞒，自愿承担相关责任并接受处理。</w:t>
            </w:r>
          </w:p>
          <w:p>
            <w:pPr>
              <w:numPr>
                <w:ilvl w:val="0"/>
                <w:numId w:val="1"/>
              </w:numPr>
              <w:spacing w:line="560" w:lineRule="exact"/>
              <w:ind w:left="280" w:leftChars="0" w:firstLine="0" w:firstLineChars="0"/>
              <w:jc w:val="left"/>
              <w:rPr>
                <w:rFonts w:cs="Calibri"/>
                <w:sz w:val="21"/>
                <w:szCs w:val="21"/>
              </w:rPr>
            </w:pPr>
            <w:r>
              <w:rPr>
                <w:rFonts w:hint="eastAsia" w:ascii="宋体" w:hAnsi="宋体" w:cs="宋体"/>
                <w:b w:val="0"/>
                <w:bCs w:val="0"/>
                <w:sz w:val="28"/>
                <w:szCs w:val="28"/>
                <w:lang w:val="en-US" w:eastAsia="zh-CN"/>
              </w:rPr>
              <w:t>自本人申报健康情况之日至开考时，如上述填报信息发生变化，将及时进行更新并主动向招考单位报告。</w:t>
            </w:r>
          </w:p>
          <w:p>
            <w:pPr>
              <w:numPr>
                <w:ilvl w:val="0"/>
                <w:numId w:val="0"/>
              </w:numPr>
              <w:spacing w:line="560" w:lineRule="exact"/>
              <w:ind w:left="280" w:leftChars="0" w:firstLine="562" w:firstLineChars="200"/>
              <w:jc w:val="left"/>
              <w:rPr>
                <w:rFonts w:cs="Calibri"/>
                <w:b/>
                <w:bCs/>
                <w:color w:val="FF0000"/>
                <w:sz w:val="21"/>
                <w:szCs w:val="21"/>
              </w:rPr>
            </w:pPr>
            <w:r>
              <w:rPr>
                <w:rFonts w:hint="eastAsia" w:ascii="宋体" w:hAnsi="宋体" w:cs="宋体"/>
                <w:b/>
                <w:bCs/>
                <w:color w:val="FF0000"/>
                <w:sz w:val="28"/>
                <w:szCs w:val="28"/>
                <w:lang w:val="en-US" w:eastAsia="zh-CN"/>
              </w:rPr>
              <w:t>本人保证以上声明信息真实、准确、完整，如有承诺不实、隐瞒病史和接触史，瞒报漏报健康情况、逃避防疫措施的，愿承担相应的法律责任。</w:t>
            </w:r>
          </w:p>
          <w:p>
            <w:pPr>
              <w:widowControl w:val="0"/>
              <w:numPr>
                <w:ilvl w:val="0"/>
                <w:numId w:val="0"/>
              </w:numPr>
              <w:spacing w:line="560" w:lineRule="exact"/>
              <w:jc w:val="left"/>
              <w:rPr>
                <w:rFonts w:hint="eastAsia" w:ascii="宋体" w:hAnsi="宋体" w:cs="宋体"/>
                <w:b w:val="0"/>
                <w:bCs w:val="0"/>
                <w:sz w:val="28"/>
                <w:szCs w:val="28"/>
                <w:lang w:val="en-US" w:eastAsia="zh-CN"/>
              </w:rPr>
            </w:pPr>
          </w:p>
          <w:p>
            <w:pPr>
              <w:widowControl w:val="0"/>
              <w:numPr>
                <w:ilvl w:val="0"/>
                <w:numId w:val="0"/>
              </w:numPr>
              <w:spacing w:line="560" w:lineRule="exact"/>
              <w:jc w:val="left"/>
              <w:rPr>
                <w:rFonts w:hint="eastAsia" w:ascii="宋体" w:hAnsi="宋体" w:cs="宋体"/>
                <w:b w:val="0"/>
                <w:bCs w:val="0"/>
                <w:sz w:val="28"/>
                <w:szCs w:val="28"/>
                <w:lang w:val="en-US" w:eastAsia="zh-CN"/>
              </w:rPr>
            </w:pPr>
          </w:p>
        </w:tc>
      </w:tr>
    </w:tbl>
    <w:p/>
    <w:p/>
    <w:p>
      <w:pPr>
        <w:wordWrap w:val="0"/>
        <w:jc w:val="right"/>
        <w:rPr>
          <w:rFonts w:hint="default" w:eastAsia="宋体"/>
          <w:b/>
          <w:sz w:val="28"/>
          <w:lang w:val="en-US" w:eastAsia="zh-CN"/>
        </w:rPr>
      </w:pPr>
      <w:r>
        <w:rPr>
          <w:rFonts w:hint="eastAsia"/>
          <w:b/>
          <w:sz w:val="28"/>
        </w:rPr>
        <w:t xml:space="preserve">考生签名： </w:t>
      </w:r>
      <w:r>
        <w:rPr>
          <w:rFonts w:hint="eastAsia"/>
          <w:b/>
          <w:sz w:val="28"/>
          <w:lang w:val="en-US" w:eastAsia="zh-CN"/>
        </w:rPr>
        <w:t xml:space="preserve">            </w:t>
      </w:r>
    </w:p>
    <w:p>
      <w:pPr>
        <w:wordWrap w:val="0"/>
        <w:jc w:val="right"/>
        <w:rPr>
          <w:b/>
          <w:sz w:val="28"/>
        </w:rPr>
      </w:pPr>
      <w:r>
        <w:rPr>
          <w:rFonts w:hint="eastAsia"/>
          <w:b/>
          <w:sz w:val="28"/>
        </w:rPr>
        <w:t xml:space="preserve"> </w:t>
      </w:r>
      <w:r>
        <w:rPr>
          <w:rFonts w:hint="eastAsia"/>
          <w:b/>
          <w:sz w:val="28"/>
          <w:lang w:val="en-US" w:eastAsia="zh-CN"/>
        </w:rPr>
        <w:t xml:space="preserve"> </w:t>
      </w:r>
      <w:r>
        <w:rPr>
          <w:rFonts w:hint="eastAsia"/>
          <w:b/>
          <w:sz w:val="28"/>
        </w:rPr>
        <w:t xml:space="preserve">        </w:t>
      </w:r>
    </w:p>
    <w:p>
      <w:pPr>
        <w:jc w:val="right"/>
        <w:rPr>
          <w:rFonts w:ascii="仿宋_GB2312" w:eastAsia="仿宋_GB2312"/>
          <w:sz w:val="32"/>
          <w:szCs w:val="32"/>
        </w:rPr>
      </w:pPr>
      <w:r>
        <w:rPr>
          <w:rFonts w:hint="eastAsia"/>
          <w:b/>
          <w:sz w:val="28"/>
        </w:rPr>
        <w:t xml:space="preserve"> 年</w:t>
      </w:r>
      <w:r>
        <w:rPr>
          <w:rFonts w:hint="eastAsia"/>
          <w:b/>
          <w:sz w:val="28"/>
          <w:lang w:val="en-US" w:eastAsia="zh-CN"/>
        </w:rPr>
        <w:t xml:space="preserve">  </w:t>
      </w:r>
      <w:r>
        <w:rPr>
          <w:rFonts w:hint="eastAsia"/>
          <w:b/>
          <w:sz w:val="28"/>
        </w:rPr>
        <w:t xml:space="preserve"> 月 </w:t>
      </w:r>
      <w:r>
        <w:rPr>
          <w:rFonts w:hint="eastAsia"/>
          <w:b/>
          <w:sz w:val="28"/>
          <w:lang w:val="en-US" w:eastAsia="zh-CN"/>
        </w:rPr>
        <w:t xml:space="preserve">  </w:t>
      </w:r>
      <w:r>
        <w:rPr>
          <w:rFonts w:hint="eastAsia"/>
          <w:b/>
          <w:sz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UIee3gEAANcDAAAOAAAAAAAA&#10;AAEAIAAAAB4BAABkcnMvZTJvRG9jLnhtbFBLBQYAAAAABgAGAFkBAABu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55A4A"/>
    <w:multiLevelType w:val="singleLevel"/>
    <w:tmpl w:val="ABB55A4A"/>
    <w:lvl w:ilvl="0" w:tentative="0">
      <w:start w:val="1"/>
      <w:numFmt w:val="decimal"/>
      <w:suff w:val="nothing"/>
      <w:lvlText w:val="（%1）"/>
      <w:lvlJc w:val="left"/>
      <w:pPr>
        <w:ind w:left="280" w:leftChars="0" w:firstLine="0" w:firstLineChars="0"/>
      </w:pPr>
      <w:rPr>
        <w:rFonts w:hint="default"/>
        <w:b w:val="0"/>
        <w:bCs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ZmRiNmFjZDQwYzAyMzBkOGYwZDhiZjg2MGUzY2UifQ=="/>
  </w:docVars>
  <w:rsids>
    <w:rsidRoot w:val="006243E4"/>
    <w:rsid w:val="00011A8F"/>
    <w:rsid w:val="00030CB2"/>
    <w:rsid w:val="00070E7B"/>
    <w:rsid w:val="000A421B"/>
    <w:rsid w:val="000C5EE3"/>
    <w:rsid w:val="00102D93"/>
    <w:rsid w:val="001163BA"/>
    <w:rsid w:val="001209D0"/>
    <w:rsid w:val="001A35C7"/>
    <w:rsid w:val="00211D4D"/>
    <w:rsid w:val="002143B1"/>
    <w:rsid w:val="00214B5E"/>
    <w:rsid w:val="00217695"/>
    <w:rsid w:val="002468E4"/>
    <w:rsid w:val="002E4F34"/>
    <w:rsid w:val="003C5043"/>
    <w:rsid w:val="0041257B"/>
    <w:rsid w:val="004662DB"/>
    <w:rsid w:val="00553495"/>
    <w:rsid w:val="005E54F9"/>
    <w:rsid w:val="00601620"/>
    <w:rsid w:val="006243E4"/>
    <w:rsid w:val="006B2A5D"/>
    <w:rsid w:val="00726982"/>
    <w:rsid w:val="007939FC"/>
    <w:rsid w:val="00853EEB"/>
    <w:rsid w:val="009203D7"/>
    <w:rsid w:val="009239F3"/>
    <w:rsid w:val="00941EAA"/>
    <w:rsid w:val="009872A1"/>
    <w:rsid w:val="00A049A6"/>
    <w:rsid w:val="00A349B8"/>
    <w:rsid w:val="00A64AB7"/>
    <w:rsid w:val="00A64B1C"/>
    <w:rsid w:val="00A6650F"/>
    <w:rsid w:val="00AB2173"/>
    <w:rsid w:val="00AD27D8"/>
    <w:rsid w:val="00AD36A0"/>
    <w:rsid w:val="00BD6B9F"/>
    <w:rsid w:val="00C67C29"/>
    <w:rsid w:val="00CC3E44"/>
    <w:rsid w:val="00DC7497"/>
    <w:rsid w:val="00E13592"/>
    <w:rsid w:val="00E37EF6"/>
    <w:rsid w:val="00E47B93"/>
    <w:rsid w:val="00E91F61"/>
    <w:rsid w:val="00EA6F72"/>
    <w:rsid w:val="00EC7210"/>
    <w:rsid w:val="00F1177F"/>
    <w:rsid w:val="00F25D73"/>
    <w:rsid w:val="00F50467"/>
    <w:rsid w:val="00FC4E16"/>
    <w:rsid w:val="05BA76D0"/>
    <w:rsid w:val="0B422C1A"/>
    <w:rsid w:val="0D48459B"/>
    <w:rsid w:val="0E46496B"/>
    <w:rsid w:val="1028379A"/>
    <w:rsid w:val="10AD162D"/>
    <w:rsid w:val="129026F7"/>
    <w:rsid w:val="12FA7A50"/>
    <w:rsid w:val="18B631B0"/>
    <w:rsid w:val="1C954CD6"/>
    <w:rsid w:val="273309A4"/>
    <w:rsid w:val="280A7960"/>
    <w:rsid w:val="30D86E15"/>
    <w:rsid w:val="30E529E2"/>
    <w:rsid w:val="31A92452"/>
    <w:rsid w:val="31D81C90"/>
    <w:rsid w:val="32D07469"/>
    <w:rsid w:val="3AB716D2"/>
    <w:rsid w:val="3BFA5FAA"/>
    <w:rsid w:val="3C9B3423"/>
    <w:rsid w:val="3F9E7DE7"/>
    <w:rsid w:val="475E10D3"/>
    <w:rsid w:val="4A192241"/>
    <w:rsid w:val="4A372D4C"/>
    <w:rsid w:val="56B52866"/>
    <w:rsid w:val="5729235C"/>
    <w:rsid w:val="572A28FD"/>
    <w:rsid w:val="5F737042"/>
    <w:rsid w:val="62E80C7F"/>
    <w:rsid w:val="6768113C"/>
    <w:rsid w:val="68E24F68"/>
    <w:rsid w:val="6974372B"/>
    <w:rsid w:val="6BBFA638"/>
    <w:rsid w:val="6F916E2C"/>
    <w:rsid w:val="74796027"/>
    <w:rsid w:val="757D5E52"/>
    <w:rsid w:val="76F52B28"/>
    <w:rsid w:val="79CA7D39"/>
    <w:rsid w:val="7BDF22DA"/>
    <w:rsid w:val="7D3AFF54"/>
    <w:rsid w:val="87C74D60"/>
    <w:rsid w:val="B3B7EF2E"/>
    <w:rsid w:val="B7FBB700"/>
    <w:rsid w:val="BE3BA426"/>
    <w:rsid w:val="BFFF4E4C"/>
    <w:rsid w:val="DE9F967F"/>
    <w:rsid w:val="E5E4FD62"/>
    <w:rsid w:val="EFEA4B7D"/>
    <w:rsid w:val="FDD9C162"/>
    <w:rsid w:val="FE73DA28"/>
    <w:rsid w:val="FFB6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Times New Roman" w:hAnsi="Times New Roman"/>
      <w:kern w:val="0"/>
      <w:sz w:val="24"/>
    </w:rPr>
  </w:style>
  <w:style w:type="character" w:styleId="7">
    <w:name w:val="Hyperlink"/>
    <w:basedOn w:val="6"/>
    <w:unhideWhenUsed/>
    <w:qFormat/>
    <w:uiPriority w:val="99"/>
    <w:rPr>
      <w:color w:val="000000"/>
      <w:sz w:val="18"/>
      <w:szCs w:val="18"/>
      <w:u w:val="non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www.wps.cn/officeDocument/2020/jdeControlExtension" Target="jdecontrols/jdecontrol2.xml"/><Relationship Id="rId7" Type="http://schemas.openxmlformats.org/officeDocument/2006/relationships/image" Target="media/image2.png"/><Relationship Id="rId6" Type="http://www.wps.cn/officeDocument/2020/jdeControlExtension" Target="jdecontrols/jdecontrol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www.wps.cn/officeDocument/2020/jdeControlExtension" Target="jdecontrols/jdecontrol12.xml"/><Relationship Id="rId2" Type="http://schemas.openxmlformats.org/officeDocument/2006/relationships/settings" Target="settings.xml"/><Relationship Id="rId19" Type="http://www.wps.cn/officeDocument/2020/jdeControlExtension" Target="jdecontrols/jdecontrol11.xml"/><Relationship Id="rId18" Type="http://www.wps.cn/officeDocument/2020/jdeControlExtension" Target="jdecontrols/jdecontrol10.xml"/><Relationship Id="rId17" Type="http://www.wps.cn/officeDocument/2020/jdeControlExtension" Target="jdecontrols/jdecontrol9.xml"/><Relationship Id="rId16" Type="http://schemas.openxmlformats.org/officeDocument/2006/relationships/image" Target="media/image4.png"/><Relationship Id="rId15" Type="http://www.wps.cn/officeDocument/2020/jdeControlExtension" Target="jdecontrols/jdecontrol8.xml"/><Relationship Id="rId14" Type="http://www.wps.cn/officeDocument/2020/jdeControlExtension" Target="jdecontrols/jdecontrol7.xml"/><Relationship Id="rId13" Type="http://www.wps.cn/officeDocument/2020/jdeControlExtension" Target="jdecontrols/jdecontrol6.xml"/><Relationship Id="rId12" Type="http://www.wps.cn/officeDocument/2020/jdeControlExtension" Target="jdecontrols/jdecontrol5.xml"/><Relationship Id="rId11" Type="http://www.wps.cn/officeDocument/2020/jdeControlExtension" Target="jdecontrols/jdecontrol4.xml"/><Relationship Id="rId10" Type="http://www.wps.cn/officeDocument/2020/jdeControlExtension" Target="jdecontrols/jdecontrol3.xml"/><Relationship Id="rId1" Type="http://schemas.openxmlformats.org/officeDocument/2006/relationships/styles" Target="styles.xml"/></Relationships>
</file>

<file path=word/jdecontrols/jdecontrol1.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OptionButton2</name>
      <back_color>4294967295</back_color>
      <fore_color>4278190080</fore_color>
      <visible>true</visible>
      <back_style>true</back_style>
      <value>false</value>
    </property>
    <property type="geometry">
      <left>5480685</left>
      <top>1548130</top>
      <width>426720</width>
      <height>169545</height>
    </property>
    <property type="others">
      <group_name>isorno1</group_name>
    </property>
    <property type="font">
      <font>
        <family>宋体</family>
        <pointsize>10</pointsize>
        <weight>50</weight>
        <italic>false</italic>
        <underline>false</underline>
        <strickout>false</strickout>
      </font>
    </property>
  </control>
</wpsjdecontrol:jdecontrol>
</file>

<file path=word/jdecontrols/jdecontrol10.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OptionButton10</name>
      <back_color>4294967295</back_color>
      <fore_color>4278190080</fore_color>
      <visible>true</visible>
      <back_style>true</back_style>
      <value>false</value>
    </property>
    <property type="geometry">
      <left>5477510</left>
      <top>5398770</top>
      <width>426720</width>
      <height>169545</height>
    </property>
    <property type="others">
      <group_name>isorno5</group_name>
    </property>
    <property type="font">
      <font>
        <family>宋体</family>
        <pointsize>10</pointsize>
        <weight>50</weight>
        <italic>false</italic>
        <underline>false</underline>
        <strickout>false</strickout>
      </font>
    </property>
  </control>
</wpsjdecontrol:jdecontrol>
</file>

<file path=word/jdecontrols/jdecontrol11.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OptionButton12</name>
      <back_color>4294967295</back_color>
      <fore_color>4278190080</fore_color>
      <visible>true</visible>
      <back_style>true</back_style>
      <value>false</value>
    </property>
    <property type="geometry">
      <left>4841240</left>
      <top>6003925</top>
      <width>426720</width>
      <height>169545</height>
    </property>
    <property type="others">
      <group_name>isorno6</group_name>
    </property>
    <property type="font">
      <font>
        <family>宋体</family>
        <pointsize>10</pointsize>
        <weight>50</weight>
        <italic>false</italic>
        <underline>false</underline>
        <strickout>false</strickout>
      </font>
    </property>
  </control>
</wpsjdecontrol:jdecontrol>
</file>

<file path=word/jdecontrols/jdecontrol12.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OptionButton11</name>
      <back_color>4294967295</back_color>
      <fore_color>4278190080</fore_color>
      <visible>true</visible>
      <back_style>true</back_style>
      <value>false</value>
    </property>
    <property type="geometry">
      <left>5480685</left>
      <top>6008370</top>
      <width>426720</width>
      <height>169545</height>
    </property>
    <property type="others">
      <group_name>isorno6</group_name>
    </property>
    <property type="font">
      <font>
        <family>宋体</family>
        <pointsize>10</pointsize>
        <weight>50</weight>
        <italic>false</italic>
        <underline>false</underline>
        <strickout>false</strickout>
      </font>
    </property>
  </control>
</wpsjdecontrol:jdecontrol>
</file>

<file path=word/jdecontrols/jdecontrol2.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OptionButton1</name>
      <back_color>4294967295</back_color>
      <fore_color>4278190080</fore_color>
      <visible>true</visible>
      <back_style>true</back_style>
      <value>false</value>
    </property>
    <property type="geometry">
      <left>4841240</left>
      <top>1543685</top>
      <width>426720</width>
      <height>169545</height>
    </property>
    <property type="others">
      <group_name>isorno1</group_name>
    </property>
    <property type="font">
      <font>
        <family>宋体</family>
        <pointsize>10</pointsize>
        <weight>50</weight>
        <italic>false</italic>
        <underline>false</underline>
        <strickout>false</strickout>
      </font>
    </property>
  </control>
</wpsjdecontrol:jdecontrol>
</file>

<file path=word/jdecontrols/jdecontrol3.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OptionButton4</name>
      <back_color>4294967295</back_color>
      <fore_color>4278190080</fore_color>
      <visible>true</visible>
      <back_style>true</back_style>
      <value>false</value>
    </property>
    <property type="geometry">
      <left>5474335</left>
      <top>2240280</top>
      <width>426720</width>
      <height>169545</height>
    </property>
    <property type="others">
      <group_name>isorno2</group_name>
    </property>
    <property type="font">
      <font>
        <family>宋体</family>
        <pointsize>10</pointsize>
        <weight>50</weight>
        <italic>false</italic>
        <underline>false</underline>
        <strickout>false</strickout>
      </font>
    </property>
  </control>
</wpsjdecontrol:jdecontrol>
</file>

<file path=word/jdecontrols/jdecontrol4.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OptionButton3</name>
      <back_color>4294967295</back_color>
      <fore_color>4278190080</fore_color>
      <visible>true</visible>
      <back_style>true</back_style>
      <value>false</value>
    </property>
    <property type="geometry">
      <left>4834890</left>
      <top>2235835</top>
      <width>426720</width>
      <height>169545</height>
    </property>
    <property type="others">
      <group_name>isorno2</group_name>
    </property>
    <property type="font">
      <font>
        <family>宋体</family>
        <pointsize>10</pointsize>
        <weight>50</weight>
        <italic>false</italic>
        <underline>false</underline>
        <strickout>false</strickout>
      </font>
    </property>
  </control>
</wpsjdecontrol:jdecontrol>
</file>

<file path=word/jdecontrols/jdecontrol5.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OptionButton5</name>
      <back_color>4294967295</back_color>
      <fore_color>4278190080</fore_color>
      <visible>true</visible>
      <back_style>true</back_style>
      <value>false</value>
    </property>
    <property type="geometry">
      <left>4829810</left>
      <top>3297555</top>
      <width>426720</width>
      <height>169545</height>
    </property>
    <property type="others">
      <group_name>isorno3</group_name>
    </property>
    <property type="font">
      <font>
        <family>宋体</family>
        <pointsize>10</pointsize>
        <weight>50</weight>
        <italic>false</italic>
        <underline>false</underline>
        <strickout>false</strickout>
      </font>
    </property>
  </control>
</wpsjdecontrol:jdecontrol>
</file>

<file path=word/jdecontrols/jdecontrol6.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OptionButton6</name>
      <back_color>4294967295</back_color>
      <fore_color>4278190080</fore_color>
      <visible>true</visible>
      <back_style>true</back_style>
      <value>false</value>
    </property>
    <property type="geometry">
      <left>5469255</left>
      <top>3302000</top>
      <width>426720</width>
      <height>169545</height>
    </property>
    <property type="others">
      <group_name>isorno3</group_name>
    </property>
    <property type="font">
      <font>
        <family>宋体</family>
        <pointsize>10</pointsize>
        <weight>50</weight>
        <italic>false</italic>
        <underline>false</underline>
        <strickout>false</strickout>
      </font>
    </property>
  </control>
</wpsjdecontrol:jdecontrol>
</file>

<file path=word/jdecontrols/jdecontrol7.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OptionButton7</name>
      <back_color>4294967295</back_color>
      <fore_color>4278190080</fore_color>
      <visible>true</visible>
      <back_style>true</back_style>
      <value>false</value>
    </property>
    <property type="geometry">
      <left>5483860</left>
      <top>4338955</top>
      <width>426720</width>
      <height>169545</height>
    </property>
    <property type="others">
      <group_name>isorno4</group_name>
    </property>
    <property type="font">
      <font>
        <family>宋体</family>
        <pointsize>10</pointsize>
        <weight>50</weight>
        <italic>false</italic>
        <underline>false</underline>
        <strickout>false</strickout>
      </font>
    </property>
  </control>
</wpsjdecontrol:jdecontrol>
</file>

<file path=word/jdecontrols/jdecontrol8.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OptionButton8</name>
      <back_color>4294967295</back_color>
      <fore_color>4278190080</fore_color>
      <visible>true</visible>
      <back_style>true</back_style>
      <value>false</value>
    </property>
    <property type="geometry">
      <left>4844415</left>
      <top>4334510</top>
      <width>426720</width>
      <height>169545</height>
    </property>
    <property type="others">
      <group_name>isorno4</group_name>
    </property>
    <property type="font">
      <font>
        <family>宋体</family>
        <pointsize>10</pointsize>
        <weight>50</weight>
        <italic>false</italic>
        <underline>false</underline>
        <strickout>false</strickout>
      </font>
    </property>
  </control>
</wpsjdecontrol:jdecontrol>
</file>

<file path=word/jdecontrols/jdecontrol9.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OptionButton9</name>
      <back_color>4294967295</back_color>
      <fore_color>4278190080</fore_color>
      <visible>true</visible>
      <back_style>true</back_style>
      <value>false</value>
    </property>
    <property type="geometry">
      <left>4838065</left>
      <top>5394325</top>
      <width>426720</width>
      <height>169545</height>
    </property>
    <property type="others">
      <group_name>isorno5</group_name>
    </property>
    <property type="font">
      <font>
        <family>宋体</family>
        <pointsize>10</pointsize>
        <weight>50</weight>
        <italic>false</italic>
        <underline>false</underline>
        <strickout>false</strickout>
      </font>
    </property>
  </control>
</wpsjdecontrol:jdecontrol>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2353</Words>
  <Characters>2487</Characters>
  <Lines>17</Lines>
  <Paragraphs>5</Paragraphs>
  <TotalTime>37</TotalTime>
  <ScaleCrop>false</ScaleCrop>
  <LinksUpToDate>false</LinksUpToDate>
  <CharactersWithSpaces>2614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2022-02-10T01:59:00Z</dcterms:created>
  <dc:creator>admin</dc:creator>
  <cp:lastModifiedBy>Administrator</cp:lastModifiedBy>
  <cp:lastPrinted>2022-02-16T08:14:00Z</cp:lastPrinted>
  <dcterms:modified xsi:type="dcterms:W3CDTF">2022-05-25T08:20:32Z</dcterms:modified>
  <dc:title>关于2021年杭州市公安局上城区分局招录警务辅助人员最新防疫须知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28FAE470C33E4D28A482EF6C190BAB81</vt:lpwstr>
  </property>
</Properties>
</file>